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5.4pt;margin-top:18.1208pt;width:591.1pt;height:825.4pt;mso-position-horizontal-relative:page;mso-position-vertical-relative:page;z-index:-252526592" coordorigin="108,362" coordsize="11822,16508">
            <v:rect style="position:absolute;left:8800;top:15708;width:2494;height:288" filled="true" fillcolor="#f9e300" stroked="false">
              <v:fill type="solid"/>
            </v:rect>
            <v:rect style="position:absolute;left:108;top:15722;width:8693;height:291" filled="true" fillcolor="#0089c1" stroked="false">
              <v:fill type="solid"/>
            </v:rect>
            <v:line style="position:absolute" from="974,1622" to="11040,1622" stroked="true" strokeweight=".75pt" strokecolor="#000000">
              <v:stroke dashstyle="solid"/>
            </v:line>
            <v:shape style="position:absolute;left:1694;top:6600;width:3792;height:4056" type="#_x0000_t75" stroked="false">
              <v:imagedata r:id="rId5" o:title=""/>
            </v:shape>
            <v:shape style="position:absolute;left:5486;top:9256;width:3442;height:4589" type="#_x0000_t75" stroked="false">
              <v:imagedata r:id="rId6" o:title=""/>
            </v:shape>
            <v:shape style="position:absolute;left:5493;top:4771;width:3370;height:4493" type="#_x0000_t75" stroked="false">
              <v:imagedata r:id="rId7" o:title=""/>
            </v:shape>
            <v:rect style="position:absolute;left:813;top:3194;width:9519;height:1253" filled="true" fillcolor="#ffff00" stroked="false">
              <v:fill type="solid"/>
            </v:rect>
            <v:shape style="position:absolute;left:8366;top:362;width:3531;height:16478" type="#_x0000_t75" stroked="false">
              <v:imagedata r:id="rId8" o:title=""/>
            </v:shape>
            <v:rect style="position:absolute;left:11294;top:455;width:606;height:16385" filled="true" fillcolor="#4babc6" stroked="false">
              <v:fill type="solid"/>
            </v:rect>
            <v:shape style="position:absolute;left:11294;top:455;width:606;height:16385" coordorigin="11294,456" coordsize="606,16385" path="m11900,456l11294,456,11294,16840e" filled="false" stroked="true" strokeweight="3.0pt" strokecolor="#f2f2f2">
              <v:path arrowok="t"/>
              <v:stroke dashstyl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pStyle w:val="BodyText"/>
        <w:ind w:left="113"/>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475.95pt;height:62.65pt;mso-position-horizontal-relative:char;mso-position-vertical-relative:line" type="#_x0000_t202" filled="false" stroked="false">
            <w10:anchorlock/>
            <v:textbox inset="0,0,0,0">
              <w:txbxContent>
                <w:p>
                  <w:pPr>
                    <w:spacing w:before="81"/>
                    <w:ind w:left="2565" w:right="1305" w:hanging="1249"/>
                    <w:jc w:val="left"/>
                    <w:rPr>
                      <w:rFonts w:ascii="Cambria" w:hAnsi="Cambria"/>
                      <w:b/>
                      <w:sz w:val="44"/>
                    </w:rPr>
                  </w:pPr>
                  <w:r>
                    <w:rPr>
                      <w:rFonts w:ascii="Cambria" w:hAnsi="Cambria"/>
                      <w:b/>
                      <w:sz w:val="44"/>
                    </w:rPr>
                    <w:t>Ausschreibungstexte Haustechnik System Quintex CLD…</w:t>
                  </w: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spacing w:before="92"/>
        <w:ind w:left="824" w:right="0" w:firstLine="0"/>
        <w:jc w:val="left"/>
        <w:rPr>
          <w:b/>
          <w:sz w:val="24"/>
        </w:rPr>
      </w:pPr>
      <w:r>
        <w:rPr>
          <w:b/>
          <w:sz w:val="24"/>
        </w:rPr>
        <w:t>Quintex GmbH</w:t>
      </w:r>
    </w:p>
    <w:p>
      <w:pPr>
        <w:spacing w:before="43"/>
        <w:ind w:left="824" w:right="0" w:firstLine="0"/>
        <w:jc w:val="left"/>
        <w:rPr>
          <w:sz w:val="24"/>
        </w:rPr>
      </w:pPr>
      <w:r>
        <w:rPr>
          <w:sz w:val="24"/>
        </w:rPr>
        <w:t>i_Park Tauberfranken 13</w:t>
      </w:r>
    </w:p>
    <w:p>
      <w:pPr>
        <w:spacing w:before="41"/>
        <w:ind w:left="824" w:right="0" w:firstLine="0"/>
        <w:jc w:val="left"/>
        <w:rPr>
          <w:sz w:val="24"/>
        </w:rPr>
      </w:pPr>
      <w:r>
        <w:rPr>
          <w:sz w:val="24"/>
        </w:rPr>
        <w:t>97922 Lauda-Königshofen</w:t>
      </w:r>
    </w:p>
    <w:p>
      <w:pPr>
        <w:spacing w:before="41"/>
        <w:ind w:left="824" w:right="0" w:firstLine="0"/>
        <w:jc w:val="left"/>
        <w:rPr>
          <w:sz w:val="24"/>
        </w:rPr>
      </w:pPr>
      <w:r>
        <w:rPr>
          <w:sz w:val="24"/>
        </w:rPr>
        <w:t>Tel.: +49 (0) 9343 6130 0</w:t>
      </w:r>
    </w:p>
    <w:p>
      <w:pPr>
        <w:spacing w:before="41"/>
        <w:ind w:left="824" w:right="0" w:firstLine="0"/>
        <w:jc w:val="left"/>
        <w:rPr>
          <w:sz w:val="24"/>
        </w:rPr>
      </w:pPr>
      <w:r>
        <w:rPr>
          <w:sz w:val="24"/>
        </w:rPr>
        <w:t>Fax.: +49 (0) 9343 6130 105</w:t>
      </w:r>
    </w:p>
    <w:p>
      <w:pPr>
        <w:pStyle w:val="BodyText"/>
        <w:spacing w:before="3"/>
        <w:rPr>
          <w:sz w:val="23"/>
        </w:rPr>
      </w:pPr>
    </w:p>
    <w:p>
      <w:pPr>
        <w:spacing w:line="276" w:lineRule="auto" w:before="92"/>
        <w:ind w:left="824" w:right="7326" w:firstLine="0"/>
        <w:jc w:val="left"/>
        <w:rPr>
          <w:sz w:val="24"/>
        </w:rPr>
      </w:pPr>
      <w:hyperlink r:id="rId9">
        <w:r>
          <w:rPr>
            <w:color w:val="0000FF"/>
            <w:sz w:val="24"/>
            <w:u w:val="single" w:color="0000FF"/>
          </w:rPr>
          <w:t>www.quintex.eu</w:t>
        </w:r>
      </w:hyperlink>
      <w:r>
        <w:rPr>
          <w:color w:val="0000FF"/>
          <w:sz w:val="24"/>
        </w:rPr>
        <w:t> </w:t>
      </w:r>
      <w:hyperlink r:id="rId10">
        <w:r>
          <w:rPr>
            <w:color w:val="0000FF"/>
            <w:w w:val="95"/>
            <w:sz w:val="24"/>
            <w:u w:val="single" w:color="0000FF"/>
          </w:rPr>
          <w:t>info@quintex.info</w:t>
        </w:r>
      </w:hyperlink>
    </w:p>
    <w:p>
      <w:pPr>
        <w:spacing w:before="98"/>
        <w:ind w:left="0" w:right="399" w:firstLine="0"/>
        <w:jc w:val="right"/>
        <w:rPr>
          <w:b/>
          <w:sz w:val="48"/>
        </w:rPr>
      </w:pPr>
      <w:r>
        <w:rPr>
          <w:b/>
          <w:sz w:val="48"/>
        </w:rPr>
        <w:t>2021</w:t>
      </w:r>
    </w:p>
    <w:p>
      <w:pPr>
        <w:pStyle w:val="BodyText"/>
        <w:rPr>
          <w:b/>
          <w:sz w:val="20"/>
        </w:rPr>
      </w:pPr>
    </w:p>
    <w:p>
      <w:pPr>
        <w:pStyle w:val="BodyText"/>
        <w:spacing w:before="3"/>
        <w:rPr>
          <w:b/>
          <w:sz w:val="25"/>
        </w:rPr>
      </w:pPr>
    </w:p>
    <w:p>
      <w:pPr>
        <w:spacing w:before="95"/>
        <w:ind w:left="778" w:right="0" w:firstLine="0"/>
        <w:jc w:val="left"/>
        <w:rPr>
          <w:sz w:val="18"/>
        </w:rPr>
      </w:pPr>
      <w:r>
        <w:rPr>
          <w:sz w:val="18"/>
        </w:rPr>
        <w:t>Änderungen ohne Vorankündigung möglich</w:t>
      </w:r>
    </w:p>
    <w:p>
      <w:pPr>
        <w:spacing w:after="0"/>
        <w:jc w:val="left"/>
        <w:rPr>
          <w:sz w:val="18"/>
        </w:rPr>
        <w:sectPr>
          <w:type w:val="continuous"/>
          <w:pgSz w:w="11900" w:h="16840"/>
          <w:pgMar w:top="1600" w:bottom="280" w:left="700" w:right="580"/>
        </w:sectPr>
      </w:pPr>
    </w:p>
    <w:p>
      <w:pPr>
        <w:pStyle w:val="BodyText"/>
        <w:rPr>
          <w:sz w:val="20"/>
        </w:rPr>
      </w:pPr>
    </w:p>
    <w:p>
      <w:pPr>
        <w:pStyle w:val="BodyText"/>
        <w:spacing w:before="6"/>
        <w:rPr>
          <w:sz w:val="16"/>
        </w:rPr>
      </w:pPr>
    </w:p>
    <w:p>
      <w:pPr>
        <w:pStyle w:val="Heading1"/>
        <w:ind w:left="716"/>
      </w:pPr>
      <w:r>
        <w:rPr/>
        <w:t>Die Quintex Vorteile….</w:t>
      </w:r>
    </w:p>
    <w:p>
      <w:pPr>
        <w:pStyle w:val="BodyText"/>
        <w:rPr>
          <w:b/>
          <w:sz w:val="54"/>
        </w:rPr>
      </w:pPr>
    </w:p>
    <w:p>
      <w:pPr>
        <w:pStyle w:val="BodyText"/>
        <w:spacing w:before="1"/>
        <w:rPr>
          <w:b/>
          <w:sz w:val="78"/>
        </w:rPr>
      </w:pPr>
    </w:p>
    <w:p>
      <w:pPr>
        <w:pStyle w:val="Heading2"/>
        <w:numPr>
          <w:ilvl w:val="0"/>
          <w:numId w:val="2"/>
        </w:numPr>
        <w:tabs>
          <w:tab w:pos="1320" w:val="left" w:leader="none"/>
          <w:tab w:pos="1321" w:val="left" w:leader="none"/>
        </w:tabs>
        <w:spacing w:line="240" w:lineRule="auto" w:before="0" w:after="0"/>
        <w:ind w:left="1320" w:right="0" w:hanging="605"/>
        <w:jc w:val="left"/>
      </w:pPr>
      <w:r>
        <w:rPr/>
        <w:pict>
          <v:group style="position:absolute;margin-left:59.52pt;margin-top:21.71702pt;width:470.4pt;height:272.2pt;mso-position-horizontal-relative:page;mso-position-vertical-relative:paragraph;z-index:-252524544" coordorigin="1190,434" coordsize="9408,5444">
            <v:shape style="position:absolute;left:1190;top:434;width:9408;height:5444" type="#_x0000_t75" stroked="false">
              <v:imagedata r:id="rId13" o:title=""/>
            </v:shape>
            <v:shape style="position:absolute;left:1190;top:434;width:9408;height:5444" type="#_x0000_t202" filled="false" stroked="false">
              <v:textbox inset="0,0,0,0">
                <w:txbxContent>
                  <w:p>
                    <w:pPr>
                      <w:numPr>
                        <w:ilvl w:val="0"/>
                        <w:numId w:val="1"/>
                      </w:numPr>
                      <w:tabs>
                        <w:tab w:pos="830" w:val="left" w:leader="none"/>
                        <w:tab w:pos="831" w:val="left" w:leader="none"/>
                      </w:tabs>
                      <w:spacing w:before="324"/>
                      <w:ind w:left="830" w:right="0" w:hanging="606"/>
                      <w:jc w:val="left"/>
                      <w:rPr>
                        <w:sz w:val="44"/>
                      </w:rPr>
                    </w:pPr>
                    <w:r>
                      <w:rPr>
                        <w:sz w:val="44"/>
                      </w:rPr>
                      <w:t>Heizbänder für besondere</w:t>
                    </w:r>
                    <w:r>
                      <w:rPr>
                        <w:spacing w:val="-8"/>
                        <w:sz w:val="44"/>
                      </w:rPr>
                      <w:t> </w:t>
                    </w:r>
                    <w:r>
                      <w:rPr>
                        <w:sz w:val="44"/>
                      </w:rPr>
                      <w:t>Anwendungen</w:t>
                    </w:r>
                  </w:p>
                  <w:p>
                    <w:pPr>
                      <w:numPr>
                        <w:ilvl w:val="0"/>
                        <w:numId w:val="1"/>
                      </w:numPr>
                      <w:tabs>
                        <w:tab w:pos="830" w:val="left" w:leader="none"/>
                        <w:tab w:pos="831" w:val="left" w:leader="none"/>
                      </w:tabs>
                      <w:spacing w:before="252"/>
                      <w:ind w:left="830" w:right="0" w:hanging="606"/>
                      <w:jc w:val="left"/>
                      <w:rPr>
                        <w:sz w:val="44"/>
                      </w:rPr>
                    </w:pPr>
                    <w:r>
                      <w:rPr>
                        <w:sz w:val="44"/>
                      </w:rPr>
                      <w:t>Geprüfte Qualität</w:t>
                    </w:r>
                  </w:p>
                  <w:p>
                    <w:pPr>
                      <w:numPr>
                        <w:ilvl w:val="0"/>
                        <w:numId w:val="1"/>
                      </w:numPr>
                      <w:tabs>
                        <w:tab w:pos="830" w:val="left" w:leader="none"/>
                        <w:tab w:pos="831" w:val="left" w:leader="none"/>
                      </w:tabs>
                      <w:spacing w:before="253"/>
                      <w:ind w:left="830" w:right="0" w:hanging="606"/>
                      <w:jc w:val="left"/>
                      <w:rPr>
                        <w:sz w:val="44"/>
                      </w:rPr>
                    </w:pPr>
                    <w:r>
                      <w:rPr>
                        <w:sz w:val="44"/>
                      </w:rPr>
                      <w:t>Ansprechpartner in Ihrer</w:t>
                    </w:r>
                    <w:r>
                      <w:rPr>
                        <w:spacing w:val="-2"/>
                        <w:sz w:val="44"/>
                      </w:rPr>
                      <w:t> </w:t>
                    </w:r>
                    <w:r>
                      <w:rPr>
                        <w:sz w:val="44"/>
                      </w:rPr>
                      <w:t>Nähe</w:t>
                    </w:r>
                  </w:p>
                  <w:p>
                    <w:pPr>
                      <w:numPr>
                        <w:ilvl w:val="0"/>
                        <w:numId w:val="1"/>
                      </w:numPr>
                      <w:tabs>
                        <w:tab w:pos="830" w:val="left" w:leader="none"/>
                        <w:tab w:pos="831" w:val="left" w:leader="none"/>
                      </w:tabs>
                      <w:spacing w:before="252"/>
                      <w:ind w:left="830" w:right="0" w:hanging="606"/>
                      <w:jc w:val="left"/>
                      <w:rPr>
                        <w:sz w:val="44"/>
                      </w:rPr>
                    </w:pPr>
                    <w:r>
                      <w:rPr>
                        <w:sz w:val="44"/>
                      </w:rPr>
                      <w:t>Online Wärmeverlustrechner</w:t>
                    </w:r>
                  </w:p>
                  <w:p>
                    <w:pPr>
                      <w:numPr>
                        <w:ilvl w:val="0"/>
                        <w:numId w:val="1"/>
                      </w:numPr>
                      <w:tabs>
                        <w:tab w:pos="830" w:val="left" w:leader="none"/>
                        <w:tab w:pos="831" w:val="left" w:leader="none"/>
                      </w:tabs>
                      <w:spacing w:line="360" w:lineRule="auto" w:before="255"/>
                      <w:ind w:left="830" w:right="1409" w:hanging="605"/>
                      <w:jc w:val="left"/>
                      <w:rPr>
                        <w:sz w:val="44"/>
                      </w:rPr>
                    </w:pPr>
                    <w:r>
                      <w:rPr>
                        <w:sz w:val="44"/>
                      </w:rPr>
                      <w:t>Online Kalkulation &amp; Bestellung Ihrer Heizkreise</w:t>
                    </w:r>
                    <w:r>
                      <w:rPr>
                        <w:spacing w:val="-3"/>
                        <w:sz w:val="44"/>
                      </w:rPr>
                      <w:t> </w:t>
                    </w:r>
                    <w:r>
                      <w:rPr>
                        <w:sz w:val="44"/>
                      </w:rPr>
                      <w:t>möglich</w:t>
                    </w:r>
                  </w:p>
                  <w:p>
                    <w:pPr>
                      <w:numPr>
                        <w:ilvl w:val="0"/>
                        <w:numId w:val="1"/>
                      </w:numPr>
                      <w:tabs>
                        <w:tab w:pos="830" w:val="left" w:leader="none"/>
                        <w:tab w:pos="831" w:val="left" w:leader="none"/>
                      </w:tabs>
                      <w:spacing w:line="505" w:lineRule="exact" w:before="0"/>
                      <w:ind w:left="830" w:right="0" w:hanging="606"/>
                      <w:jc w:val="left"/>
                      <w:rPr>
                        <w:sz w:val="44"/>
                      </w:rPr>
                    </w:pPr>
                    <w:r>
                      <w:rPr>
                        <w:sz w:val="44"/>
                      </w:rPr>
                      <w:t>Werkskonfektionierung</w:t>
                    </w:r>
                  </w:p>
                </w:txbxContent>
              </v:textbox>
              <w10:wrap type="none"/>
            </v:shape>
            <w10:wrap type="none"/>
          </v:group>
        </w:pict>
      </w:r>
      <w:r>
        <w:rPr/>
        <w:t>Abgestimmte Systemlösung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ListParagraph"/>
        <w:numPr>
          <w:ilvl w:val="0"/>
          <w:numId w:val="2"/>
        </w:numPr>
        <w:tabs>
          <w:tab w:pos="1320" w:val="left" w:leader="none"/>
          <w:tab w:pos="1321" w:val="left" w:leader="none"/>
        </w:tabs>
        <w:spacing w:line="240" w:lineRule="auto" w:before="85" w:after="0"/>
        <w:ind w:left="1320" w:right="0" w:hanging="605"/>
        <w:jc w:val="left"/>
        <w:rPr>
          <w:sz w:val="44"/>
        </w:rPr>
      </w:pPr>
      <w:r>
        <w:rPr>
          <w:sz w:val="44"/>
        </w:rPr>
        <w:t>Prompte Auftragsbearbeitung &amp;</w:t>
      </w:r>
      <w:r>
        <w:rPr>
          <w:spacing w:val="-5"/>
          <w:sz w:val="44"/>
        </w:rPr>
        <w:t> </w:t>
      </w:r>
      <w:r>
        <w:rPr>
          <w:sz w:val="44"/>
        </w:rPr>
        <w:t>Lieferung</w:t>
      </w:r>
    </w:p>
    <w:p>
      <w:pPr>
        <w:pStyle w:val="ListParagraph"/>
        <w:numPr>
          <w:ilvl w:val="0"/>
          <w:numId w:val="2"/>
        </w:numPr>
        <w:tabs>
          <w:tab w:pos="1320" w:val="left" w:leader="none"/>
          <w:tab w:pos="1321" w:val="left" w:leader="none"/>
        </w:tabs>
        <w:spacing w:line="240" w:lineRule="auto" w:before="255" w:after="0"/>
        <w:ind w:left="1320" w:right="0" w:hanging="605"/>
        <w:jc w:val="left"/>
        <w:rPr>
          <w:sz w:val="44"/>
        </w:rPr>
      </w:pPr>
      <w:r>
        <w:rPr>
          <w:sz w:val="44"/>
        </w:rPr>
        <w:t>Individuelle</w:t>
      </w:r>
      <w:r>
        <w:rPr>
          <w:spacing w:val="-3"/>
          <w:sz w:val="44"/>
        </w:rPr>
        <w:t> </w:t>
      </w:r>
      <w:r>
        <w:rPr>
          <w:sz w:val="44"/>
        </w:rPr>
        <w:t>Beratung</w:t>
      </w:r>
    </w:p>
    <w:p>
      <w:pPr>
        <w:pStyle w:val="ListParagraph"/>
        <w:numPr>
          <w:ilvl w:val="0"/>
          <w:numId w:val="2"/>
        </w:numPr>
        <w:tabs>
          <w:tab w:pos="1320" w:val="left" w:leader="none"/>
          <w:tab w:pos="1321" w:val="left" w:leader="none"/>
        </w:tabs>
        <w:spacing w:line="240" w:lineRule="auto" w:before="252" w:after="0"/>
        <w:ind w:left="1320" w:right="0" w:hanging="605"/>
        <w:jc w:val="left"/>
        <w:rPr>
          <w:sz w:val="44"/>
        </w:rPr>
      </w:pPr>
      <w:r>
        <w:rPr>
          <w:sz w:val="44"/>
        </w:rPr>
        <w:t>Kundenspezifische Lösungen</w:t>
      </w:r>
    </w:p>
    <w:p>
      <w:pPr>
        <w:pStyle w:val="ListParagraph"/>
        <w:numPr>
          <w:ilvl w:val="0"/>
          <w:numId w:val="2"/>
        </w:numPr>
        <w:tabs>
          <w:tab w:pos="1320" w:val="left" w:leader="none"/>
          <w:tab w:pos="1321" w:val="left" w:leader="none"/>
        </w:tabs>
        <w:spacing w:line="240" w:lineRule="auto" w:before="253" w:after="0"/>
        <w:ind w:left="1320" w:right="0" w:hanging="605"/>
        <w:jc w:val="left"/>
        <w:rPr>
          <w:sz w:val="44"/>
        </w:rPr>
      </w:pPr>
      <w:r>
        <w:rPr>
          <w:sz w:val="44"/>
        </w:rPr>
        <w:t>Schnelle Verfügbarkeit</w:t>
      </w:r>
    </w:p>
    <w:p>
      <w:pPr>
        <w:spacing w:after="0" w:line="240" w:lineRule="auto"/>
        <w:jc w:val="left"/>
        <w:rPr>
          <w:sz w:val="44"/>
        </w:rPr>
        <w:sectPr>
          <w:headerReference w:type="default" r:id="rId11"/>
          <w:footerReference w:type="default" r:id="rId12"/>
          <w:pgSz w:w="11900" w:h="16840"/>
          <w:pgMar w:header="286" w:footer="890" w:top="1620" w:bottom="1080" w:left="700" w:right="580"/>
          <w:pgNumType w:start="1"/>
        </w:sectPr>
      </w:pPr>
    </w:p>
    <w:p>
      <w:pPr>
        <w:pStyle w:val="BodyText"/>
        <w:rPr>
          <w:sz w:val="20"/>
        </w:rPr>
      </w:pPr>
    </w:p>
    <w:p>
      <w:pPr>
        <w:pStyle w:val="BodyText"/>
        <w:spacing w:before="8"/>
        <w:rPr>
          <w:sz w:val="15"/>
        </w:rPr>
      </w:pPr>
    </w:p>
    <w:p>
      <w:pPr>
        <w:spacing w:before="92"/>
        <w:ind w:left="716" w:right="0" w:firstLine="0"/>
        <w:jc w:val="both"/>
        <w:rPr>
          <w:b/>
          <w:sz w:val="28"/>
        </w:rPr>
      </w:pPr>
      <w:r>
        <w:rPr>
          <w:b/>
          <w:sz w:val="28"/>
        </w:rPr>
        <w:t>Ausschreibungstexte Haustechnik – System Quintex - CLD…</w:t>
      </w:r>
    </w:p>
    <w:p>
      <w:pPr>
        <w:pStyle w:val="BodyText"/>
        <w:spacing w:line="276" w:lineRule="auto" w:before="231"/>
        <w:ind w:left="716" w:right="826"/>
        <w:jc w:val="both"/>
      </w:pPr>
      <w:r>
        <w:rPr/>
        <w:t>Selbstbegrenzendes Parallelheizband Quintherm CLD… für Frostschutz in Dachrinnen, Fallrohren und auf kleineren Dachflächen. Das Heizband besteht aus zwei verzinnten Kupferleitern 1,1 mm², eingebettet in einem strahlenvernetzten Heizelement, welches von einer Isolierhülle und einem Schutzgeflecht umgeben ist. Der äußere Schutzmantel besteht aus modifiziertem Polyolefin. Für Dachflächen und Rinnen welche mit Bitumen ausgekleidet sind, steht ein Fluorpolymer-Außenmantel zur Verfügung. Der Einsatz auf Dachbahnen ist mit dem jeweiligen Hersteller</w:t>
      </w:r>
      <w:r>
        <w:rPr>
          <w:spacing w:val="2"/>
        </w:rPr>
        <w:t> </w:t>
      </w:r>
      <w:r>
        <w:rPr/>
        <w:t>abzustimmen.</w:t>
      </w:r>
    </w:p>
    <w:p>
      <w:pPr>
        <w:pStyle w:val="BodyText"/>
        <w:rPr>
          <w:sz w:val="23"/>
        </w:rPr>
      </w:pPr>
    </w:p>
    <w:p>
      <w:pPr>
        <w:spacing w:before="0"/>
        <w:ind w:left="716" w:right="0" w:firstLine="0"/>
        <w:jc w:val="left"/>
        <w:rPr>
          <w:b/>
          <w:sz w:val="20"/>
        </w:rPr>
      </w:pPr>
      <w:r>
        <w:rPr>
          <w:b/>
          <w:sz w:val="20"/>
          <w:u w:val="thick"/>
        </w:rPr>
        <w:t>Liefernachweis:</w:t>
      </w:r>
    </w:p>
    <w:p>
      <w:pPr>
        <w:spacing w:before="37"/>
        <w:ind w:left="716" w:right="0" w:firstLine="0"/>
        <w:jc w:val="left"/>
        <w:rPr>
          <w:sz w:val="20"/>
        </w:rPr>
      </w:pPr>
      <w:r>
        <w:rPr>
          <w:sz w:val="20"/>
        </w:rPr>
        <w:t>Quintex GmbH</w:t>
      </w:r>
    </w:p>
    <w:p>
      <w:pPr>
        <w:spacing w:before="34"/>
        <w:ind w:left="716" w:right="0" w:firstLine="0"/>
        <w:jc w:val="left"/>
        <w:rPr>
          <w:sz w:val="20"/>
        </w:rPr>
      </w:pPr>
      <w:r>
        <w:rPr>
          <w:sz w:val="20"/>
        </w:rPr>
        <w:t>i_Park Tauberfranken 13</w:t>
      </w:r>
    </w:p>
    <w:p>
      <w:pPr>
        <w:spacing w:line="276" w:lineRule="auto" w:before="34"/>
        <w:ind w:left="716" w:right="7326" w:firstLine="0"/>
        <w:jc w:val="left"/>
        <w:rPr>
          <w:sz w:val="20"/>
        </w:rPr>
      </w:pPr>
      <w:r>
        <w:rPr>
          <w:sz w:val="20"/>
        </w:rPr>
        <w:t>D-97922 Lauda-Königshofen </w:t>
      </w:r>
      <w:hyperlink r:id="rId9">
        <w:r>
          <w:rPr>
            <w:color w:val="0000FF"/>
            <w:sz w:val="20"/>
            <w:u w:val="single" w:color="0000FF"/>
          </w:rPr>
          <w:t>www.quintex.eu</w:t>
        </w:r>
      </w:hyperlink>
      <w:r>
        <w:rPr>
          <w:color w:val="0000FF"/>
          <w:sz w:val="20"/>
        </w:rPr>
        <w:t> </w:t>
      </w:r>
      <w:hyperlink r:id="rId10">
        <w:r>
          <w:rPr>
            <w:color w:val="0000FF"/>
            <w:sz w:val="20"/>
            <w:u w:val="single" w:color="0000FF"/>
          </w:rPr>
          <w:t>info@quintex.info</w:t>
        </w:r>
      </w:hyperlink>
    </w:p>
    <w:p>
      <w:pPr>
        <w:pStyle w:val="BodyText"/>
        <w:spacing w:before="11"/>
        <w:rPr>
          <w:sz w:val="14"/>
        </w:rPr>
      </w:pPr>
    </w:p>
    <w:p>
      <w:pPr>
        <w:spacing w:before="93"/>
        <w:ind w:left="716" w:right="0" w:firstLine="0"/>
        <w:jc w:val="left"/>
        <w:rPr>
          <w:sz w:val="20"/>
        </w:rPr>
      </w:pPr>
      <w:r>
        <w:rPr>
          <w:sz w:val="20"/>
        </w:rPr>
        <w:t>Tel.: +49 (0) 9343 6130 0</w:t>
      </w:r>
    </w:p>
    <w:p>
      <w:pPr>
        <w:spacing w:before="34"/>
        <w:ind w:left="716" w:right="0" w:firstLine="0"/>
        <w:jc w:val="left"/>
        <w:rPr>
          <w:sz w:val="20"/>
        </w:rPr>
      </w:pPr>
      <w:r>
        <w:rPr>
          <w:sz w:val="20"/>
        </w:rPr>
        <w:t>Fax.: +49 (0) 9343 6130 105</w:t>
      </w:r>
    </w:p>
    <w:p>
      <w:pPr>
        <w:pStyle w:val="BodyText"/>
        <w:rPr>
          <w:sz w:val="20"/>
        </w:rPr>
      </w:pPr>
    </w:p>
    <w:p>
      <w:pPr>
        <w:pStyle w:val="BodyText"/>
        <w:spacing w:before="8"/>
        <w:rPr>
          <w:sz w:val="10"/>
        </w:rPr>
      </w:pPr>
    </w:p>
    <w:tbl>
      <w:tblPr>
        <w:tblW w:w="0" w:type="auto"/>
        <w:jc w:val="left"/>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840"/>
        <w:gridCol w:w="6804"/>
        <w:gridCol w:w="708"/>
        <w:gridCol w:w="634"/>
      </w:tblGrid>
      <w:tr>
        <w:trPr>
          <w:trHeight w:val="443" w:hRule="atLeast"/>
        </w:trPr>
        <w:tc>
          <w:tcPr>
            <w:tcW w:w="9634" w:type="dxa"/>
            <w:gridSpan w:val="5"/>
          </w:tcPr>
          <w:p>
            <w:pPr>
              <w:pStyle w:val="TableParagraph"/>
              <w:spacing w:line="318" w:lineRule="exact"/>
              <w:ind w:left="69"/>
              <w:rPr>
                <w:b/>
                <w:sz w:val="28"/>
              </w:rPr>
            </w:pPr>
            <w:r>
              <w:rPr>
                <w:b/>
                <w:sz w:val="28"/>
              </w:rPr>
              <w:t>Leistungsverzeichnis Dachrinnenheizung</w:t>
            </w:r>
          </w:p>
        </w:tc>
      </w:tr>
      <w:tr>
        <w:trPr>
          <w:trHeight w:val="407" w:hRule="atLeast"/>
        </w:trPr>
        <w:tc>
          <w:tcPr>
            <w:tcW w:w="648" w:type="dxa"/>
          </w:tcPr>
          <w:p>
            <w:pPr>
              <w:pStyle w:val="TableParagraph"/>
              <w:spacing w:line="227" w:lineRule="exact"/>
              <w:ind w:left="69"/>
              <w:rPr>
                <w:b/>
                <w:sz w:val="20"/>
              </w:rPr>
            </w:pPr>
            <w:r>
              <w:rPr>
                <w:b/>
                <w:sz w:val="20"/>
              </w:rPr>
              <w:t>Pos.</w:t>
            </w:r>
          </w:p>
        </w:tc>
        <w:tc>
          <w:tcPr>
            <w:tcW w:w="840" w:type="dxa"/>
          </w:tcPr>
          <w:p>
            <w:pPr>
              <w:pStyle w:val="TableParagraph"/>
              <w:spacing w:line="227" w:lineRule="exact"/>
              <w:ind w:left="71"/>
              <w:rPr>
                <w:b/>
                <w:sz w:val="20"/>
              </w:rPr>
            </w:pPr>
            <w:r>
              <w:rPr>
                <w:b/>
                <w:sz w:val="20"/>
              </w:rPr>
              <w:t>Menge</w:t>
            </w:r>
          </w:p>
        </w:tc>
        <w:tc>
          <w:tcPr>
            <w:tcW w:w="6804" w:type="dxa"/>
          </w:tcPr>
          <w:p>
            <w:pPr>
              <w:pStyle w:val="TableParagraph"/>
              <w:spacing w:line="227" w:lineRule="exact"/>
              <w:ind w:left="69"/>
              <w:rPr>
                <w:b/>
                <w:sz w:val="20"/>
              </w:rPr>
            </w:pPr>
            <w:r>
              <w:rPr>
                <w:b/>
                <w:sz w:val="20"/>
              </w:rPr>
              <w:t>Beschreibung</w:t>
            </w:r>
          </w:p>
        </w:tc>
        <w:tc>
          <w:tcPr>
            <w:tcW w:w="708" w:type="dxa"/>
          </w:tcPr>
          <w:p>
            <w:pPr>
              <w:pStyle w:val="TableParagraph"/>
              <w:spacing w:line="227" w:lineRule="exact"/>
              <w:ind w:left="69"/>
              <w:rPr>
                <w:b/>
                <w:sz w:val="20"/>
              </w:rPr>
            </w:pPr>
            <w:r>
              <w:rPr>
                <w:b/>
                <w:sz w:val="20"/>
              </w:rPr>
              <w:t>EP</w:t>
            </w:r>
          </w:p>
        </w:tc>
        <w:tc>
          <w:tcPr>
            <w:tcW w:w="634" w:type="dxa"/>
          </w:tcPr>
          <w:p>
            <w:pPr>
              <w:pStyle w:val="TableParagraph"/>
              <w:spacing w:line="227" w:lineRule="exact"/>
              <w:ind w:left="71"/>
              <w:rPr>
                <w:b/>
                <w:sz w:val="20"/>
              </w:rPr>
            </w:pPr>
            <w:r>
              <w:rPr>
                <w:b/>
                <w:sz w:val="20"/>
              </w:rPr>
              <w:t>GP</w:t>
            </w:r>
          </w:p>
        </w:tc>
      </w:tr>
      <w:tr>
        <w:trPr>
          <w:trHeight w:val="4494" w:hRule="atLeast"/>
        </w:trPr>
        <w:tc>
          <w:tcPr>
            <w:tcW w:w="648" w:type="dxa"/>
          </w:tcPr>
          <w:p>
            <w:pPr>
              <w:pStyle w:val="TableParagraph"/>
              <w:rPr>
                <w:rFonts w:ascii="Times New Roman"/>
                <w:sz w:val="20"/>
              </w:rPr>
            </w:pPr>
          </w:p>
        </w:tc>
        <w:tc>
          <w:tcPr>
            <w:tcW w:w="840" w:type="dxa"/>
          </w:tcPr>
          <w:p>
            <w:pPr>
              <w:pStyle w:val="TableParagraph"/>
              <w:rPr>
                <w:rFonts w:ascii="Times New Roman"/>
                <w:sz w:val="20"/>
              </w:rPr>
            </w:pPr>
          </w:p>
        </w:tc>
        <w:tc>
          <w:tcPr>
            <w:tcW w:w="6804" w:type="dxa"/>
          </w:tcPr>
          <w:p>
            <w:pPr>
              <w:pStyle w:val="TableParagraph"/>
              <w:spacing w:before="8"/>
              <w:rPr>
                <w:sz w:val="22"/>
              </w:rPr>
            </w:pPr>
          </w:p>
          <w:p>
            <w:pPr>
              <w:pStyle w:val="TableParagraph"/>
              <w:spacing w:line="278" w:lineRule="auto"/>
              <w:ind w:left="69" w:right="191"/>
              <w:rPr>
                <w:sz w:val="20"/>
              </w:rPr>
            </w:pPr>
            <w:r>
              <w:rPr>
                <w:b/>
                <w:sz w:val="20"/>
              </w:rPr>
              <w:t>Selbstbegrenzendes Dachrinnenheizband </w:t>
            </w:r>
            <w:r>
              <w:rPr>
                <w:sz w:val="20"/>
              </w:rPr>
              <w:t>mit Polyolefin Außenmantel, (nicht für Bitumen geeignet), UV-beständig, für eisfreie Dachrinnen, Fallrohre und kleinere Dachflächen.</w:t>
            </w:r>
          </w:p>
          <w:p>
            <w:pPr>
              <w:pStyle w:val="TableParagraph"/>
              <w:spacing w:before="7"/>
              <w:rPr>
                <w:sz w:val="22"/>
              </w:rPr>
            </w:pPr>
          </w:p>
          <w:p>
            <w:pPr>
              <w:pStyle w:val="TableParagraph"/>
              <w:tabs>
                <w:tab w:pos="2459" w:val="left" w:leader="none"/>
              </w:tabs>
              <w:ind w:left="69"/>
              <w:rPr>
                <w:sz w:val="20"/>
              </w:rPr>
            </w:pPr>
            <w:r>
              <w:rPr>
                <w:sz w:val="20"/>
              </w:rPr>
              <w:t>Nennleistung:</w:t>
            </w:r>
            <w:r>
              <w:rPr>
                <w:rFonts w:ascii="Times New Roman" w:hAnsi="Times New Roman"/>
                <w:sz w:val="20"/>
              </w:rPr>
              <w:tab/>
            </w:r>
            <w:r>
              <w:rPr>
                <w:sz w:val="20"/>
              </w:rPr>
              <w:t>ca.18 W/m in 0°C</w:t>
            </w:r>
            <w:r>
              <w:rPr>
                <w:spacing w:val="-4"/>
                <w:sz w:val="20"/>
              </w:rPr>
              <w:t> </w:t>
            </w:r>
            <w:r>
              <w:rPr>
                <w:sz w:val="20"/>
              </w:rPr>
              <w:t>Luft,</w:t>
            </w:r>
          </w:p>
          <w:p>
            <w:pPr>
              <w:pStyle w:val="TableParagraph"/>
              <w:tabs>
                <w:tab w:pos="2481" w:val="left" w:leader="none"/>
              </w:tabs>
              <w:spacing w:line="276" w:lineRule="auto" w:before="34"/>
              <w:ind w:left="69" w:right="1821" w:firstLine="2390"/>
              <w:rPr>
                <w:sz w:val="20"/>
              </w:rPr>
            </w:pPr>
            <w:r>
              <w:rPr>
                <w:sz w:val="20"/>
              </w:rPr>
              <w:t>bis zu 36 </w:t>
            </w:r>
            <w:r>
              <w:rPr>
                <w:spacing w:val="2"/>
                <w:sz w:val="20"/>
              </w:rPr>
              <w:t>W/m </w:t>
            </w:r>
            <w:r>
              <w:rPr>
                <w:sz w:val="20"/>
              </w:rPr>
              <w:t>in Eiswasser max.</w:t>
            </w:r>
            <w:r>
              <w:rPr>
                <w:spacing w:val="-5"/>
                <w:sz w:val="20"/>
              </w:rPr>
              <w:t> </w:t>
            </w:r>
            <w:r>
              <w:rPr>
                <w:sz w:val="20"/>
              </w:rPr>
              <w:t>Heizkreislänge:</w:t>
            </w:r>
            <w:r>
              <w:rPr>
                <w:rFonts w:ascii="Times New Roman" w:hAnsi="Times New Roman"/>
                <w:sz w:val="20"/>
              </w:rPr>
              <w:tab/>
            </w:r>
            <w:r>
              <w:rPr>
                <w:sz w:val="20"/>
              </w:rPr>
              <w:t>88m bei 16A/C</w:t>
            </w:r>
            <w:r>
              <w:rPr>
                <w:spacing w:val="-13"/>
                <w:sz w:val="20"/>
              </w:rPr>
              <w:t> </w:t>
            </w:r>
            <w:r>
              <w:rPr>
                <w:sz w:val="20"/>
              </w:rPr>
              <w:t>Absicherung</w:t>
            </w:r>
          </w:p>
          <w:p>
            <w:pPr>
              <w:pStyle w:val="TableParagraph"/>
              <w:rPr>
                <w:sz w:val="22"/>
              </w:rPr>
            </w:pPr>
          </w:p>
          <w:p>
            <w:pPr>
              <w:pStyle w:val="TableParagraph"/>
              <w:spacing w:before="1"/>
              <w:rPr>
                <w:sz w:val="24"/>
              </w:rPr>
            </w:pPr>
          </w:p>
          <w:p>
            <w:pPr>
              <w:pStyle w:val="TableParagraph"/>
              <w:tabs>
                <w:tab w:pos="2526" w:val="left" w:leader="none"/>
              </w:tabs>
              <w:spacing w:line="276" w:lineRule="auto"/>
              <w:ind w:left="69" w:right="3602"/>
              <w:rPr>
                <w:sz w:val="20"/>
              </w:rPr>
            </w:pPr>
            <w:r>
              <w:rPr>
                <w:sz w:val="20"/>
              </w:rPr>
              <w:t>max. zul.</w:t>
            </w:r>
            <w:r>
              <w:rPr>
                <w:spacing w:val="-18"/>
                <w:sz w:val="20"/>
              </w:rPr>
              <w:t> </w:t>
            </w:r>
            <w:r>
              <w:rPr>
                <w:sz w:val="20"/>
              </w:rPr>
              <w:t>Umgebungstemperaturen eingeschaltet:</w:t>
            </w:r>
            <w:r>
              <w:rPr>
                <w:rFonts w:ascii="Times New Roman" w:hAnsi="Times New Roman"/>
                <w:sz w:val="20"/>
              </w:rPr>
              <w:tab/>
            </w:r>
            <w:r>
              <w:rPr>
                <w:sz w:val="20"/>
              </w:rPr>
              <w:t>+85°C</w:t>
            </w:r>
          </w:p>
          <w:p>
            <w:pPr>
              <w:pStyle w:val="TableParagraph"/>
              <w:tabs>
                <w:tab w:pos="2526" w:val="left" w:leader="none"/>
              </w:tabs>
              <w:spacing w:line="229" w:lineRule="exact"/>
              <w:ind w:left="69"/>
              <w:rPr>
                <w:sz w:val="20"/>
              </w:rPr>
            </w:pPr>
            <w:r>
              <w:rPr>
                <w:sz w:val="20"/>
              </w:rPr>
              <w:t>ausgeschaltet:</w:t>
            </w:r>
            <w:r>
              <w:rPr>
                <w:rFonts w:ascii="Times New Roman" w:hAnsi="Times New Roman"/>
                <w:sz w:val="20"/>
              </w:rPr>
              <w:tab/>
            </w:r>
            <w:r>
              <w:rPr>
                <w:sz w:val="20"/>
              </w:rPr>
              <w:t>+85°C</w:t>
            </w:r>
          </w:p>
          <w:p>
            <w:pPr>
              <w:pStyle w:val="TableParagraph"/>
              <w:rPr>
                <w:sz w:val="22"/>
              </w:rPr>
            </w:pPr>
          </w:p>
          <w:p>
            <w:pPr>
              <w:pStyle w:val="TableParagraph"/>
              <w:spacing w:before="1"/>
              <w:rPr>
                <w:sz w:val="27"/>
              </w:rPr>
            </w:pPr>
          </w:p>
          <w:p>
            <w:pPr>
              <w:pStyle w:val="TableParagraph"/>
              <w:tabs>
                <w:tab w:pos="2514" w:val="left" w:leader="none"/>
              </w:tabs>
              <w:ind w:left="69"/>
              <w:rPr>
                <w:sz w:val="20"/>
              </w:rPr>
            </w:pPr>
            <w:r>
              <w:rPr>
                <w:sz w:val="20"/>
              </w:rPr>
              <w:t>Fabrikat</w:t>
            </w:r>
            <w:r>
              <w:rPr>
                <w:rFonts w:ascii="Times New Roman"/>
                <w:sz w:val="20"/>
              </w:rPr>
              <w:tab/>
            </w:r>
            <w:r>
              <w:rPr>
                <w:sz w:val="20"/>
              </w:rPr>
              <w:t>Quintex</w:t>
            </w:r>
          </w:p>
          <w:p>
            <w:pPr>
              <w:pStyle w:val="TableParagraph"/>
              <w:tabs>
                <w:tab w:pos="2514" w:val="left" w:leader="none"/>
                <w:tab w:pos="4804" w:val="left" w:leader="none"/>
              </w:tabs>
              <w:spacing w:before="34"/>
              <w:ind w:left="69"/>
              <w:rPr>
                <w:sz w:val="20"/>
              </w:rPr>
            </w:pPr>
            <w:r>
              <w:rPr>
                <w:sz w:val="20"/>
              </w:rPr>
              <w:t>Typ</w:t>
            </w:r>
            <w:r>
              <w:rPr>
                <w:rFonts w:ascii="Times New Roman"/>
                <w:sz w:val="20"/>
              </w:rPr>
              <w:tab/>
            </w:r>
            <w:r>
              <w:rPr>
                <w:sz w:val="20"/>
              </w:rPr>
              <w:t>CLD182CT/QX</w:t>
            </w:r>
            <w:r>
              <w:rPr>
                <w:rFonts w:ascii="Times New Roman"/>
                <w:sz w:val="20"/>
              </w:rPr>
              <w:tab/>
            </w:r>
            <w:r>
              <w:rPr>
                <w:sz w:val="20"/>
              </w:rPr>
              <w:t>liefern und</w:t>
            </w:r>
            <w:r>
              <w:rPr>
                <w:spacing w:val="-9"/>
                <w:sz w:val="20"/>
              </w:rPr>
              <w:t> </w:t>
            </w:r>
            <w:r>
              <w:rPr>
                <w:sz w:val="20"/>
              </w:rPr>
              <w:t>montieren</w:t>
            </w:r>
          </w:p>
        </w:tc>
        <w:tc>
          <w:tcPr>
            <w:tcW w:w="708" w:type="dxa"/>
          </w:tcPr>
          <w:p>
            <w:pPr>
              <w:pStyle w:val="TableParagraph"/>
              <w:spacing w:before="10"/>
              <w:rPr>
                <w:sz w:val="22"/>
              </w:rPr>
            </w:pPr>
          </w:p>
          <w:p>
            <w:pPr>
              <w:pStyle w:val="TableParagraph"/>
              <w:ind w:left="235"/>
              <w:rPr>
                <w:sz w:val="20"/>
              </w:rPr>
            </w:pPr>
            <w:r>
              <w:rPr>
                <w:sz w:val="20"/>
              </w:rPr>
              <w:t>9,90</w:t>
            </w:r>
          </w:p>
        </w:tc>
        <w:tc>
          <w:tcPr>
            <w:tcW w:w="634" w:type="dxa"/>
          </w:tcPr>
          <w:p>
            <w:pPr>
              <w:pStyle w:val="TableParagraph"/>
              <w:rPr>
                <w:rFonts w:ascii="Times New Roman"/>
                <w:sz w:val="20"/>
              </w:rPr>
            </w:pPr>
          </w:p>
        </w:tc>
      </w:tr>
    </w:tbl>
    <w:p>
      <w:pPr>
        <w:spacing w:after="0"/>
        <w:rPr>
          <w:rFonts w:ascii="Times New Roman"/>
          <w:sz w:val="20"/>
        </w:rPr>
        <w:sectPr>
          <w:pgSz w:w="11900" w:h="16840"/>
          <w:pgMar w:header="286" w:footer="890" w:top="1620" w:bottom="1120" w:left="700" w:right="580"/>
        </w:sectPr>
      </w:pPr>
    </w:p>
    <w:p>
      <w:pPr>
        <w:pStyle w:val="BodyText"/>
        <w:rPr>
          <w:sz w:val="20"/>
        </w:rPr>
      </w:pPr>
      <w:r>
        <w:rPr/>
        <w:pict>
          <v:group style="position:absolute;margin-left:0pt;margin-top:781.560303pt;width:592.6pt;height:14.55pt;mso-position-horizontal-relative:page;mso-position-vertical-relative:page;z-index:251662336" coordorigin="0,15631" coordsize="11852,291">
            <v:rect style="position:absolute;left:8560;top:15631;width:3291;height:291" filled="true" fillcolor="#f9e300" stroked="false">
              <v:fill type="solid"/>
            </v:rect>
            <v:rect style="position:absolute;left:0;top:15631;width:8561;height:291" filled="true" fillcolor="#0089c1" stroked="false">
              <v:fill type="solid"/>
            </v:rect>
            <w10:wrap type="none"/>
          </v:group>
        </w:pict>
      </w:r>
    </w:p>
    <w:p>
      <w:pPr>
        <w:pStyle w:val="BodyText"/>
        <w:rPr>
          <w:sz w:val="20"/>
        </w:rPr>
      </w:pPr>
    </w:p>
    <w:tbl>
      <w:tblPr>
        <w:tblW w:w="0" w:type="auto"/>
        <w:jc w:val="left"/>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4"/>
        <w:gridCol w:w="832"/>
        <w:gridCol w:w="6881"/>
        <w:gridCol w:w="775"/>
        <w:gridCol w:w="686"/>
      </w:tblGrid>
      <w:tr>
        <w:trPr>
          <w:trHeight w:val="453" w:hRule="atLeast"/>
        </w:trPr>
        <w:tc>
          <w:tcPr>
            <w:tcW w:w="9828" w:type="dxa"/>
            <w:gridSpan w:val="5"/>
          </w:tcPr>
          <w:p>
            <w:pPr>
              <w:pStyle w:val="TableParagraph"/>
              <w:spacing w:line="318" w:lineRule="exact"/>
              <w:ind w:left="69"/>
              <w:rPr>
                <w:b/>
                <w:sz w:val="28"/>
              </w:rPr>
            </w:pPr>
            <w:r>
              <w:rPr>
                <w:b/>
                <w:sz w:val="28"/>
              </w:rPr>
              <w:t>Leistungsverzeichnis Dachrinnenheizung</w:t>
            </w:r>
          </w:p>
        </w:tc>
      </w:tr>
      <w:tr>
        <w:trPr>
          <w:trHeight w:val="412" w:hRule="atLeast"/>
        </w:trPr>
        <w:tc>
          <w:tcPr>
            <w:tcW w:w="654" w:type="dxa"/>
          </w:tcPr>
          <w:p>
            <w:pPr>
              <w:pStyle w:val="TableParagraph"/>
              <w:spacing w:line="227" w:lineRule="exact"/>
              <w:ind w:left="69"/>
              <w:rPr>
                <w:b/>
                <w:sz w:val="20"/>
              </w:rPr>
            </w:pPr>
            <w:r>
              <w:rPr>
                <w:b/>
                <w:sz w:val="20"/>
              </w:rPr>
              <w:t>Pos.</w:t>
            </w:r>
          </w:p>
        </w:tc>
        <w:tc>
          <w:tcPr>
            <w:tcW w:w="832" w:type="dxa"/>
          </w:tcPr>
          <w:p>
            <w:pPr>
              <w:pStyle w:val="TableParagraph"/>
              <w:spacing w:line="227" w:lineRule="exact"/>
              <w:ind w:left="77"/>
              <w:rPr>
                <w:b/>
                <w:sz w:val="20"/>
              </w:rPr>
            </w:pPr>
            <w:r>
              <w:rPr>
                <w:b/>
                <w:sz w:val="20"/>
              </w:rPr>
              <w:t>Menge</w:t>
            </w:r>
          </w:p>
        </w:tc>
        <w:tc>
          <w:tcPr>
            <w:tcW w:w="6881" w:type="dxa"/>
          </w:tcPr>
          <w:p>
            <w:pPr>
              <w:pStyle w:val="TableParagraph"/>
              <w:spacing w:line="227" w:lineRule="exact"/>
              <w:ind w:left="71"/>
              <w:rPr>
                <w:b/>
                <w:sz w:val="20"/>
              </w:rPr>
            </w:pPr>
            <w:r>
              <w:rPr>
                <w:b/>
                <w:sz w:val="20"/>
              </w:rPr>
              <w:t>Beschreibung</w:t>
            </w:r>
          </w:p>
        </w:tc>
        <w:tc>
          <w:tcPr>
            <w:tcW w:w="775" w:type="dxa"/>
          </w:tcPr>
          <w:p>
            <w:pPr>
              <w:pStyle w:val="TableParagraph"/>
              <w:spacing w:line="227" w:lineRule="exact"/>
              <w:ind w:left="68"/>
              <w:rPr>
                <w:b/>
                <w:sz w:val="20"/>
              </w:rPr>
            </w:pPr>
            <w:r>
              <w:rPr>
                <w:b/>
                <w:sz w:val="20"/>
              </w:rPr>
              <w:t>EP</w:t>
            </w:r>
          </w:p>
        </w:tc>
        <w:tc>
          <w:tcPr>
            <w:tcW w:w="686" w:type="dxa"/>
          </w:tcPr>
          <w:p>
            <w:pPr>
              <w:pStyle w:val="TableParagraph"/>
              <w:spacing w:line="227" w:lineRule="exact"/>
              <w:ind w:left="71"/>
              <w:rPr>
                <w:b/>
                <w:sz w:val="20"/>
              </w:rPr>
            </w:pPr>
            <w:r>
              <w:rPr>
                <w:b/>
                <w:sz w:val="20"/>
              </w:rPr>
              <w:t>GP</w:t>
            </w:r>
          </w:p>
        </w:tc>
      </w:tr>
      <w:tr>
        <w:trPr>
          <w:trHeight w:val="3839" w:hRule="atLeast"/>
        </w:trPr>
        <w:tc>
          <w:tcPr>
            <w:tcW w:w="654" w:type="dxa"/>
          </w:tcPr>
          <w:p>
            <w:pPr>
              <w:pStyle w:val="TableParagraph"/>
              <w:rPr>
                <w:rFonts w:ascii="Times New Roman"/>
                <w:sz w:val="20"/>
              </w:rPr>
            </w:pPr>
          </w:p>
        </w:tc>
        <w:tc>
          <w:tcPr>
            <w:tcW w:w="832" w:type="dxa"/>
          </w:tcPr>
          <w:p>
            <w:pPr>
              <w:pStyle w:val="TableParagraph"/>
              <w:rPr>
                <w:rFonts w:ascii="Times New Roman"/>
                <w:sz w:val="20"/>
              </w:rPr>
            </w:pPr>
          </w:p>
        </w:tc>
        <w:tc>
          <w:tcPr>
            <w:tcW w:w="6881" w:type="dxa"/>
          </w:tcPr>
          <w:p>
            <w:pPr>
              <w:pStyle w:val="TableParagraph"/>
              <w:spacing w:before="8"/>
              <w:rPr>
                <w:sz w:val="22"/>
              </w:rPr>
            </w:pPr>
          </w:p>
          <w:p>
            <w:pPr>
              <w:pStyle w:val="TableParagraph"/>
              <w:spacing w:line="280" w:lineRule="auto"/>
              <w:ind w:left="71" w:right="932"/>
              <w:rPr>
                <w:sz w:val="20"/>
              </w:rPr>
            </w:pPr>
            <w:r>
              <w:rPr>
                <w:b/>
                <w:sz w:val="20"/>
              </w:rPr>
              <w:t>Selbstbegrenzendes Dachrinnenheizband </w:t>
            </w:r>
            <w:r>
              <w:rPr>
                <w:sz w:val="20"/>
              </w:rPr>
              <w:t>mit Fluorpolymer Außenmantel geeignet für den Einsatz auf Bitumen, UV-beständig</w:t>
            </w:r>
          </w:p>
          <w:p>
            <w:pPr>
              <w:pStyle w:val="TableParagraph"/>
              <w:spacing w:before="5"/>
              <w:rPr>
                <w:sz w:val="22"/>
              </w:rPr>
            </w:pPr>
          </w:p>
          <w:p>
            <w:pPr>
              <w:pStyle w:val="TableParagraph"/>
              <w:tabs>
                <w:tab w:pos="2516" w:val="left" w:leader="none"/>
              </w:tabs>
              <w:ind w:left="71"/>
              <w:rPr>
                <w:sz w:val="20"/>
              </w:rPr>
            </w:pPr>
            <w:r>
              <w:rPr>
                <w:sz w:val="20"/>
              </w:rPr>
              <w:t>Nennleistung</w:t>
            </w:r>
            <w:r>
              <w:rPr>
                <w:rFonts w:ascii="Times New Roman" w:hAnsi="Times New Roman"/>
                <w:sz w:val="20"/>
              </w:rPr>
              <w:tab/>
            </w:r>
            <w:r>
              <w:rPr>
                <w:sz w:val="20"/>
              </w:rPr>
              <w:t>ca.18 W/m in 0°C</w:t>
            </w:r>
            <w:r>
              <w:rPr>
                <w:spacing w:val="-4"/>
                <w:sz w:val="20"/>
              </w:rPr>
              <w:t> </w:t>
            </w:r>
            <w:r>
              <w:rPr>
                <w:sz w:val="20"/>
              </w:rPr>
              <w:t>Luft,</w:t>
            </w:r>
          </w:p>
          <w:p>
            <w:pPr>
              <w:pStyle w:val="TableParagraph"/>
              <w:tabs>
                <w:tab w:pos="2538" w:val="left" w:leader="none"/>
              </w:tabs>
              <w:spacing w:line="276" w:lineRule="auto" w:before="34"/>
              <w:ind w:left="71" w:right="1838" w:firstLine="2445"/>
              <w:rPr>
                <w:sz w:val="20"/>
              </w:rPr>
            </w:pPr>
            <w:r>
              <w:rPr>
                <w:sz w:val="20"/>
              </w:rPr>
              <w:t>bis zu 36 </w:t>
            </w:r>
            <w:r>
              <w:rPr>
                <w:spacing w:val="2"/>
                <w:sz w:val="20"/>
              </w:rPr>
              <w:t>W/m </w:t>
            </w:r>
            <w:r>
              <w:rPr>
                <w:sz w:val="20"/>
              </w:rPr>
              <w:t>in Eiswasser max.</w:t>
            </w:r>
            <w:r>
              <w:rPr>
                <w:spacing w:val="-5"/>
                <w:sz w:val="20"/>
              </w:rPr>
              <w:t> </w:t>
            </w:r>
            <w:r>
              <w:rPr>
                <w:sz w:val="20"/>
              </w:rPr>
              <w:t>Heizkreislänge</w:t>
            </w:r>
            <w:r>
              <w:rPr>
                <w:rFonts w:ascii="Times New Roman" w:hAnsi="Times New Roman"/>
                <w:sz w:val="20"/>
              </w:rPr>
              <w:tab/>
            </w:r>
            <w:r>
              <w:rPr>
                <w:sz w:val="20"/>
              </w:rPr>
              <w:t>88m bei 16A/C</w:t>
            </w:r>
            <w:r>
              <w:rPr>
                <w:spacing w:val="-10"/>
                <w:sz w:val="20"/>
              </w:rPr>
              <w:t> </w:t>
            </w:r>
            <w:r>
              <w:rPr>
                <w:sz w:val="20"/>
              </w:rPr>
              <w:t>Absicherung</w:t>
            </w:r>
          </w:p>
          <w:p>
            <w:pPr>
              <w:pStyle w:val="TableParagraph"/>
              <w:spacing w:before="8"/>
              <w:rPr>
                <w:sz w:val="27"/>
              </w:rPr>
            </w:pPr>
          </w:p>
          <w:p>
            <w:pPr>
              <w:pStyle w:val="TableParagraph"/>
              <w:tabs>
                <w:tab w:pos="2528" w:val="left" w:leader="none"/>
              </w:tabs>
              <w:spacing w:line="276" w:lineRule="auto"/>
              <w:ind w:left="71" w:right="3677"/>
              <w:rPr>
                <w:sz w:val="20"/>
              </w:rPr>
            </w:pPr>
            <w:r>
              <w:rPr>
                <w:sz w:val="20"/>
              </w:rPr>
              <w:t>max. zul.</w:t>
            </w:r>
            <w:r>
              <w:rPr>
                <w:spacing w:val="-18"/>
                <w:sz w:val="20"/>
              </w:rPr>
              <w:t> </w:t>
            </w:r>
            <w:r>
              <w:rPr>
                <w:sz w:val="20"/>
              </w:rPr>
              <w:t>Umgebungstemperaturen eingeschaltet:</w:t>
            </w:r>
            <w:r>
              <w:rPr>
                <w:rFonts w:ascii="Times New Roman" w:hAnsi="Times New Roman"/>
                <w:sz w:val="20"/>
              </w:rPr>
              <w:tab/>
            </w:r>
            <w:r>
              <w:rPr>
                <w:sz w:val="20"/>
              </w:rPr>
              <w:t>+85°C</w:t>
            </w:r>
          </w:p>
          <w:p>
            <w:pPr>
              <w:pStyle w:val="TableParagraph"/>
              <w:tabs>
                <w:tab w:pos="2528" w:val="left" w:leader="none"/>
              </w:tabs>
              <w:spacing w:line="229" w:lineRule="exact"/>
              <w:ind w:left="71"/>
              <w:rPr>
                <w:sz w:val="20"/>
              </w:rPr>
            </w:pPr>
            <w:r>
              <w:rPr>
                <w:sz w:val="20"/>
              </w:rPr>
              <w:t>ausgeschaltet:</w:t>
            </w:r>
            <w:r>
              <w:rPr>
                <w:rFonts w:ascii="Times New Roman" w:hAnsi="Times New Roman"/>
                <w:sz w:val="20"/>
              </w:rPr>
              <w:tab/>
            </w:r>
            <w:r>
              <w:rPr>
                <w:sz w:val="20"/>
              </w:rPr>
              <w:t>+85°C</w:t>
            </w:r>
          </w:p>
          <w:p>
            <w:pPr>
              <w:pStyle w:val="TableParagraph"/>
              <w:spacing w:before="8"/>
              <w:rPr>
                <w:sz w:val="30"/>
              </w:rPr>
            </w:pPr>
          </w:p>
          <w:p>
            <w:pPr>
              <w:pStyle w:val="TableParagraph"/>
              <w:tabs>
                <w:tab w:pos="2516" w:val="left" w:leader="none"/>
              </w:tabs>
              <w:ind w:left="71"/>
              <w:rPr>
                <w:sz w:val="20"/>
              </w:rPr>
            </w:pPr>
            <w:r>
              <w:rPr>
                <w:sz w:val="20"/>
              </w:rPr>
              <w:t>Fabrikat:</w:t>
            </w:r>
            <w:r>
              <w:rPr>
                <w:rFonts w:ascii="Times New Roman"/>
                <w:sz w:val="20"/>
              </w:rPr>
              <w:tab/>
            </w:r>
            <w:r>
              <w:rPr>
                <w:sz w:val="20"/>
              </w:rPr>
              <w:t>Quintex</w:t>
            </w:r>
          </w:p>
          <w:p>
            <w:pPr>
              <w:pStyle w:val="TableParagraph"/>
              <w:tabs>
                <w:tab w:pos="2516" w:val="left" w:leader="none"/>
                <w:tab w:pos="4917" w:val="left" w:leader="none"/>
              </w:tabs>
              <w:spacing w:before="34"/>
              <w:ind w:left="71"/>
              <w:rPr>
                <w:sz w:val="20"/>
              </w:rPr>
            </w:pPr>
            <w:r>
              <w:rPr>
                <w:sz w:val="20"/>
              </w:rPr>
              <w:t>Typ:</w:t>
            </w:r>
            <w:r>
              <w:rPr>
                <w:rFonts w:ascii="Times New Roman"/>
                <w:sz w:val="20"/>
              </w:rPr>
              <w:tab/>
            </w:r>
            <w:r>
              <w:rPr>
                <w:sz w:val="20"/>
              </w:rPr>
              <w:t>CLD182CF/QX</w:t>
            </w:r>
            <w:r>
              <w:rPr>
                <w:rFonts w:ascii="Times New Roman"/>
                <w:sz w:val="20"/>
              </w:rPr>
              <w:tab/>
            </w:r>
            <w:r>
              <w:rPr>
                <w:sz w:val="20"/>
              </w:rPr>
              <w:t>liefern und</w:t>
            </w:r>
            <w:r>
              <w:rPr>
                <w:spacing w:val="-10"/>
                <w:sz w:val="20"/>
              </w:rPr>
              <w:t> </w:t>
            </w:r>
            <w:r>
              <w:rPr>
                <w:sz w:val="20"/>
              </w:rPr>
              <w:t>montieren</w:t>
            </w:r>
          </w:p>
        </w:tc>
        <w:tc>
          <w:tcPr>
            <w:tcW w:w="775" w:type="dxa"/>
          </w:tcPr>
          <w:p>
            <w:pPr>
              <w:pStyle w:val="TableParagraph"/>
              <w:spacing w:before="10"/>
              <w:rPr>
                <w:sz w:val="22"/>
              </w:rPr>
            </w:pPr>
          </w:p>
          <w:p>
            <w:pPr>
              <w:pStyle w:val="TableParagraph"/>
              <w:ind w:right="84"/>
              <w:jc w:val="right"/>
              <w:rPr>
                <w:sz w:val="20"/>
              </w:rPr>
            </w:pPr>
            <w:r>
              <w:rPr>
                <w:sz w:val="20"/>
              </w:rPr>
              <w:t>12,00</w:t>
            </w:r>
          </w:p>
        </w:tc>
        <w:tc>
          <w:tcPr>
            <w:tcW w:w="686" w:type="dxa"/>
          </w:tcPr>
          <w:p>
            <w:pPr>
              <w:pStyle w:val="TableParagraph"/>
              <w:rPr>
                <w:rFonts w:ascii="Times New Roman"/>
                <w:sz w:val="20"/>
              </w:rPr>
            </w:pPr>
          </w:p>
        </w:tc>
      </w:tr>
      <w:tr>
        <w:trPr>
          <w:trHeight w:val="2963" w:hRule="atLeast"/>
        </w:trPr>
        <w:tc>
          <w:tcPr>
            <w:tcW w:w="654" w:type="dxa"/>
          </w:tcPr>
          <w:p>
            <w:pPr>
              <w:pStyle w:val="TableParagraph"/>
              <w:rPr>
                <w:rFonts w:ascii="Times New Roman"/>
                <w:sz w:val="20"/>
              </w:rPr>
            </w:pPr>
          </w:p>
        </w:tc>
        <w:tc>
          <w:tcPr>
            <w:tcW w:w="832" w:type="dxa"/>
          </w:tcPr>
          <w:p>
            <w:pPr>
              <w:pStyle w:val="TableParagraph"/>
              <w:rPr>
                <w:rFonts w:ascii="Times New Roman"/>
                <w:sz w:val="20"/>
              </w:rPr>
            </w:pPr>
          </w:p>
        </w:tc>
        <w:tc>
          <w:tcPr>
            <w:tcW w:w="6881" w:type="dxa"/>
          </w:tcPr>
          <w:p>
            <w:pPr>
              <w:pStyle w:val="TableParagraph"/>
              <w:spacing w:before="10"/>
              <w:rPr>
                <w:sz w:val="22"/>
              </w:rPr>
            </w:pPr>
          </w:p>
          <w:p>
            <w:pPr>
              <w:pStyle w:val="TableParagraph"/>
              <w:spacing w:line="276" w:lineRule="auto"/>
              <w:ind w:left="71" w:right="222"/>
              <w:rPr>
                <w:sz w:val="20"/>
              </w:rPr>
            </w:pPr>
            <w:r>
              <w:rPr>
                <w:b/>
                <w:sz w:val="20"/>
              </w:rPr>
              <w:t>An-/Abschlussset </w:t>
            </w:r>
            <w:r>
              <w:rPr>
                <w:sz w:val="20"/>
              </w:rPr>
              <w:t>in Warmschrumpftechnik für Heizbänder mit Polyolefin Außenmantel (CLD…CT), bestehend aus Heizbandanschluss mit Klemmstein zur Verbindung mit einer Zuleitung und Heizband Endabschluss.</w:t>
            </w:r>
          </w:p>
          <w:p>
            <w:pPr>
              <w:pStyle w:val="TableParagraph"/>
              <w:spacing w:before="2"/>
              <w:rPr>
                <w:sz w:val="23"/>
              </w:rPr>
            </w:pPr>
          </w:p>
          <w:p>
            <w:pPr>
              <w:pStyle w:val="TableParagraph"/>
              <w:tabs>
                <w:tab w:pos="2504" w:val="left" w:leader="none"/>
              </w:tabs>
              <w:spacing w:before="1"/>
              <w:ind w:left="71"/>
              <w:rPr>
                <w:sz w:val="20"/>
              </w:rPr>
            </w:pPr>
            <w:r>
              <w:rPr>
                <w:sz w:val="20"/>
              </w:rPr>
              <w:t>Klemmquerschnitt:</w:t>
            </w:r>
            <w:r>
              <w:rPr>
                <w:rFonts w:ascii="Times New Roman" w:hAnsi="Times New Roman"/>
                <w:sz w:val="20"/>
              </w:rPr>
              <w:tab/>
            </w:r>
            <w:r>
              <w:rPr>
                <w:sz w:val="20"/>
              </w:rPr>
              <w:t>2,5mm²</w:t>
            </w:r>
          </w:p>
          <w:p>
            <w:pPr>
              <w:pStyle w:val="TableParagraph"/>
              <w:spacing w:before="10"/>
              <w:rPr>
                <w:sz w:val="25"/>
              </w:rPr>
            </w:pPr>
          </w:p>
          <w:p>
            <w:pPr>
              <w:pStyle w:val="TableParagraph"/>
              <w:tabs>
                <w:tab w:pos="2516" w:val="left" w:leader="none"/>
              </w:tabs>
              <w:ind w:left="71"/>
              <w:rPr>
                <w:sz w:val="20"/>
              </w:rPr>
            </w:pPr>
            <w:r>
              <w:rPr>
                <w:sz w:val="20"/>
              </w:rPr>
              <w:t>Fabrikat</w:t>
            </w:r>
            <w:r>
              <w:rPr>
                <w:rFonts w:ascii="Times New Roman"/>
                <w:sz w:val="20"/>
              </w:rPr>
              <w:tab/>
            </w:r>
            <w:r>
              <w:rPr>
                <w:sz w:val="20"/>
              </w:rPr>
              <w:t>Quintex</w:t>
            </w:r>
          </w:p>
          <w:p>
            <w:pPr>
              <w:pStyle w:val="TableParagraph"/>
              <w:tabs>
                <w:tab w:pos="2516" w:val="left" w:leader="none"/>
                <w:tab w:pos="4916" w:val="left" w:leader="none"/>
              </w:tabs>
              <w:spacing w:before="34"/>
              <w:ind w:left="71"/>
              <w:rPr>
                <w:sz w:val="20"/>
              </w:rPr>
            </w:pPr>
            <w:r>
              <w:rPr>
                <w:sz w:val="20"/>
              </w:rPr>
              <w:t>Typ</w:t>
            </w:r>
            <w:r>
              <w:rPr>
                <w:rFonts w:ascii="Times New Roman"/>
                <w:sz w:val="20"/>
              </w:rPr>
              <w:tab/>
            </w:r>
            <w:r>
              <w:rPr>
                <w:sz w:val="20"/>
              </w:rPr>
              <w:t>IAL3SK1</w:t>
            </w:r>
            <w:r>
              <w:rPr>
                <w:rFonts w:ascii="Times New Roman"/>
                <w:sz w:val="20"/>
              </w:rPr>
              <w:tab/>
            </w:r>
            <w:r>
              <w:rPr>
                <w:sz w:val="20"/>
              </w:rPr>
              <w:t>liefern und</w:t>
            </w:r>
            <w:r>
              <w:rPr>
                <w:spacing w:val="-10"/>
                <w:sz w:val="20"/>
              </w:rPr>
              <w:t> </w:t>
            </w:r>
            <w:r>
              <w:rPr>
                <w:sz w:val="20"/>
              </w:rPr>
              <w:t>montieren</w:t>
            </w:r>
          </w:p>
        </w:tc>
        <w:tc>
          <w:tcPr>
            <w:tcW w:w="775" w:type="dxa"/>
          </w:tcPr>
          <w:p>
            <w:pPr>
              <w:pStyle w:val="TableParagraph"/>
              <w:spacing w:before="1"/>
              <w:rPr>
                <w:sz w:val="23"/>
              </w:rPr>
            </w:pPr>
          </w:p>
          <w:p>
            <w:pPr>
              <w:pStyle w:val="TableParagraph"/>
              <w:ind w:right="84"/>
              <w:jc w:val="right"/>
              <w:rPr>
                <w:sz w:val="20"/>
              </w:rPr>
            </w:pPr>
            <w:r>
              <w:rPr>
                <w:sz w:val="20"/>
              </w:rPr>
              <w:t>20,80</w:t>
            </w:r>
          </w:p>
        </w:tc>
        <w:tc>
          <w:tcPr>
            <w:tcW w:w="686" w:type="dxa"/>
          </w:tcPr>
          <w:p>
            <w:pPr>
              <w:pStyle w:val="TableParagraph"/>
              <w:rPr>
                <w:rFonts w:ascii="Times New Roman"/>
                <w:sz w:val="20"/>
              </w:rPr>
            </w:pPr>
          </w:p>
        </w:tc>
      </w:tr>
      <w:tr>
        <w:trPr>
          <w:trHeight w:val="3172" w:hRule="atLeast"/>
        </w:trPr>
        <w:tc>
          <w:tcPr>
            <w:tcW w:w="654" w:type="dxa"/>
          </w:tcPr>
          <w:p>
            <w:pPr>
              <w:pStyle w:val="TableParagraph"/>
              <w:rPr>
                <w:rFonts w:ascii="Times New Roman"/>
                <w:sz w:val="20"/>
              </w:rPr>
            </w:pPr>
          </w:p>
        </w:tc>
        <w:tc>
          <w:tcPr>
            <w:tcW w:w="832" w:type="dxa"/>
          </w:tcPr>
          <w:p>
            <w:pPr>
              <w:pStyle w:val="TableParagraph"/>
              <w:rPr>
                <w:rFonts w:ascii="Times New Roman"/>
                <w:sz w:val="20"/>
              </w:rPr>
            </w:pPr>
          </w:p>
        </w:tc>
        <w:tc>
          <w:tcPr>
            <w:tcW w:w="6881" w:type="dxa"/>
          </w:tcPr>
          <w:p>
            <w:pPr>
              <w:pStyle w:val="TableParagraph"/>
              <w:spacing w:before="8"/>
              <w:rPr>
                <w:sz w:val="22"/>
              </w:rPr>
            </w:pPr>
          </w:p>
          <w:p>
            <w:pPr>
              <w:pStyle w:val="TableParagraph"/>
              <w:spacing w:line="276" w:lineRule="auto"/>
              <w:ind w:left="71" w:right="99"/>
              <w:rPr>
                <w:sz w:val="20"/>
              </w:rPr>
            </w:pPr>
            <w:r>
              <w:rPr>
                <w:b/>
                <w:sz w:val="20"/>
              </w:rPr>
              <w:t>An-/Abschlussset </w:t>
            </w:r>
            <w:r>
              <w:rPr>
                <w:sz w:val="20"/>
              </w:rPr>
              <w:t>in Warmschrumpftechnik für Heizbänder mit Fluorpolymer Außenmantel (CLD…CF), bestehend aus Heizbandanschluss mit Klemmstein zur Verbindung mit einer Zuleitung und Heizband Endabschluss.</w:t>
            </w:r>
          </w:p>
          <w:p>
            <w:pPr>
              <w:pStyle w:val="TableParagraph"/>
              <w:spacing w:before="2"/>
              <w:rPr>
                <w:sz w:val="23"/>
              </w:rPr>
            </w:pPr>
          </w:p>
          <w:p>
            <w:pPr>
              <w:pStyle w:val="TableParagraph"/>
              <w:tabs>
                <w:tab w:pos="2504" w:val="left" w:leader="none"/>
              </w:tabs>
              <w:ind w:left="71"/>
              <w:rPr>
                <w:sz w:val="20"/>
              </w:rPr>
            </w:pPr>
            <w:r>
              <w:rPr>
                <w:sz w:val="20"/>
              </w:rPr>
              <w:t>Klemmquerschnitt:</w:t>
            </w:r>
            <w:r>
              <w:rPr>
                <w:rFonts w:ascii="Times New Roman" w:hAnsi="Times New Roman"/>
                <w:sz w:val="20"/>
              </w:rPr>
              <w:tab/>
            </w:r>
            <w:r>
              <w:rPr>
                <w:sz w:val="20"/>
              </w:rPr>
              <w:t>2,5mm²</w:t>
            </w:r>
          </w:p>
          <w:p>
            <w:pPr>
              <w:pStyle w:val="TableParagraph"/>
              <w:spacing w:before="11"/>
              <w:rPr>
                <w:sz w:val="25"/>
              </w:rPr>
            </w:pPr>
          </w:p>
          <w:p>
            <w:pPr>
              <w:pStyle w:val="TableParagraph"/>
              <w:tabs>
                <w:tab w:pos="2516" w:val="left" w:leader="none"/>
              </w:tabs>
              <w:ind w:left="71"/>
              <w:rPr>
                <w:sz w:val="20"/>
              </w:rPr>
            </w:pPr>
            <w:r>
              <w:rPr>
                <w:sz w:val="20"/>
              </w:rPr>
              <w:t>Fabrikat</w:t>
            </w:r>
            <w:r>
              <w:rPr>
                <w:rFonts w:ascii="Times New Roman"/>
                <w:sz w:val="20"/>
              </w:rPr>
              <w:tab/>
            </w:r>
            <w:r>
              <w:rPr>
                <w:sz w:val="20"/>
              </w:rPr>
              <w:t>Quintex</w:t>
            </w:r>
          </w:p>
          <w:p>
            <w:pPr>
              <w:pStyle w:val="TableParagraph"/>
              <w:tabs>
                <w:tab w:pos="2516" w:val="left" w:leader="none"/>
                <w:tab w:pos="4928" w:val="left" w:leader="none"/>
              </w:tabs>
              <w:spacing w:before="36"/>
              <w:ind w:left="71"/>
              <w:rPr>
                <w:sz w:val="20"/>
              </w:rPr>
            </w:pPr>
            <w:r>
              <w:rPr>
                <w:sz w:val="20"/>
              </w:rPr>
              <w:t>Typ</w:t>
            </w:r>
            <w:r>
              <w:rPr>
                <w:rFonts w:ascii="Times New Roman"/>
                <w:sz w:val="20"/>
              </w:rPr>
              <w:tab/>
            </w:r>
            <w:r>
              <w:rPr>
                <w:sz w:val="20"/>
              </w:rPr>
              <w:t>IAL3SK1</w:t>
            </w:r>
            <w:r>
              <w:rPr>
                <w:spacing w:val="-4"/>
                <w:sz w:val="20"/>
              </w:rPr>
              <w:t> </w:t>
            </w:r>
            <w:r>
              <w:rPr>
                <w:sz w:val="20"/>
              </w:rPr>
              <w:t>F</w:t>
            </w:r>
            <w:r>
              <w:rPr>
                <w:rFonts w:ascii="Times New Roman"/>
                <w:sz w:val="20"/>
              </w:rPr>
              <w:tab/>
            </w:r>
            <w:r>
              <w:rPr>
                <w:sz w:val="20"/>
              </w:rPr>
              <w:t>liefern und</w:t>
            </w:r>
            <w:r>
              <w:rPr>
                <w:spacing w:val="-9"/>
                <w:sz w:val="20"/>
              </w:rPr>
              <w:t> </w:t>
            </w:r>
            <w:r>
              <w:rPr>
                <w:sz w:val="20"/>
              </w:rPr>
              <w:t>montieren</w:t>
            </w:r>
          </w:p>
        </w:tc>
        <w:tc>
          <w:tcPr>
            <w:tcW w:w="775" w:type="dxa"/>
          </w:tcPr>
          <w:p>
            <w:pPr>
              <w:pStyle w:val="TableParagraph"/>
              <w:spacing w:before="10"/>
              <w:rPr>
                <w:sz w:val="22"/>
              </w:rPr>
            </w:pPr>
          </w:p>
          <w:p>
            <w:pPr>
              <w:pStyle w:val="TableParagraph"/>
              <w:ind w:right="84"/>
              <w:jc w:val="right"/>
              <w:rPr>
                <w:sz w:val="20"/>
              </w:rPr>
            </w:pPr>
            <w:r>
              <w:rPr>
                <w:sz w:val="20"/>
              </w:rPr>
              <w:t>24,60</w:t>
            </w:r>
          </w:p>
        </w:tc>
        <w:tc>
          <w:tcPr>
            <w:tcW w:w="686" w:type="dxa"/>
          </w:tcPr>
          <w:p>
            <w:pPr>
              <w:pStyle w:val="TableParagraph"/>
              <w:rPr>
                <w:rFonts w:ascii="Times New Roman"/>
                <w:sz w:val="20"/>
              </w:rPr>
            </w:pPr>
          </w:p>
        </w:tc>
      </w:tr>
    </w:tbl>
    <w:p>
      <w:pPr>
        <w:spacing w:after="0"/>
        <w:rPr>
          <w:rFonts w:ascii="Times New Roman"/>
          <w:sz w:val="20"/>
        </w:rPr>
        <w:sectPr>
          <w:pgSz w:w="11900" w:h="16840"/>
          <w:pgMar w:header="286" w:footer="890" w:top="1620" w:bottom="1080" w:left="700" w:right="580"/>
        </w:sectPr>
      </w:pPr>
    </w:p>
    <w:p>
      <w:pPr>
        <w:pStyle w:val="BodyText"/>
        <w:rPr>
          <w:sz w:val="20"/>
        </w:rPr>
      </w:pPr>
      <w:r>
        <w:rPr/>
        <w:pict>
          <v:group style="position:absolute;margin-left:0pt;margin-top:781.560303pt;width:592.6pt;height:14.55pt;mso-position-horizontal-relative:page;mso-position-vertical-relative:page;z-index:251663360" coordorigin="0,15631" coordsize="11852,291">
            <v:rect style="position:absolute;left:8560;top:15631;width:3291;height:291" filled="true" fillcolor="#f9e300" stroked="false">
              <v:fill type="solid"/>
            </v:rect>
            <v:rect style="position:absolute;left:0;top:15631;width:8561;height:291" filled="true" fillcolor="#0089c1" stroked="false">
              <v:fill type="solid"/>
            </v:rect>
            <w10:wrap type="none"/>
          </v:group>
        </w:pict>
      </w:r>
    </w:p>
    <w:p>
      <w:pPr>
        <w:pStyle w:val="BodyText"/>
        <w:rPr>
          <w:sz w:val="20"/>
        </w:rPr>
      </w:pPr>
    </w:p>
    <w:p>
      <w:pPr>
        <w:pStyle w:val="BodyText"/>
        <w:spacing w:before="6" w:after="1"/>
        <w:rPr>
          <w:sz w:val="27"/>
        </w:rPr>
      </w:pPr>
    </w:p>
    <w:tbl>
      <w:tblPr>
        <w:tblW w:w="0" w:type="auto"/>
        <w:jc w:val="left"/>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826"/>
        <w:gridCol w:w="6665"/>
        <w:gridCol w:w="850"/>
        <w:gridCol w:w="828"/>
      </w:tblGrid>
      <w:tr>
        <w:trPr>
          <w:trHeight w:val="599" w:hRule="atLeast"/>
        </w:trPr>
        <w:tc>
          <w:tcPr>
            <w:tcW w:w="9829" w:type="dxa"/>
            <w:gridSpan w:val="5"/>
          </w:tcPr>
          <w:p>
            <w:pPr>
              <w:pStyle w:val="TableParagraph"/>
              <w:spacing w:before="7"/>
              <w:rPr>
                <w:sz w:val="23"/>
              </w:rPr>
            </w:pPr>
          </w:p>
          <w:p>
            <w:pPr>
              <w:pStyle w:val="TableParagraph"/>
              <w:spacing w:line="307" w:lineRule="exact" w:before="1"/>
              <w:ind w:left="69"/>
              <w:rPr>
                <w:b/>
                <w:sz w:val="28"/>
              </w:rPr>
            </w:pPr>
            <w:r>
              <w:rPr>
                <w:b/>
                <w:sz w:val="28"/>
              </w:rPr>
              <w:t>Leistungsverzeichnis Dachrinnenheizung</w:t>
            </w:r>
          </w:p>
        </w:tc>
      </w:tr>
      <w:tr>
        <w:trPr>
          <w:trHeight w:val="417" w:hRule="atLeast"/>
        </w:trPr>
        <w:tc>
          <w:tcPr>
            <w:tcW w:w="660" w:type="dxa"/>
          </w:tcPr>
          <w:p>
            <w:pPr>
              <w:pStyle w:val="TableParagraph"/>
              <w:spacing w:line="225" w:lineRule="exact"/>
              <w:ind w:left="69"/>
              <w:rPr>
                <w:b/>
                <w:sz w:val="20"/>
              </w:rPr>
            </w:pPr>
            <w:r>
              <w:rPr>
                <w:b/>
                <w:sz w:val="20"/>
              </w:rPr>
              <w:t>Pos.</w:t>
            </w:r>
          </w:p>
        </w:tc>
        <w:tc>
          <w:tcPr>
            <w:tcW w:w="826" w:type="dxa"/>
          </w:tcPr>
          <w:p>
            <w:pPr>
              <w:pStyle w:val="TableParagraph"/>
              <w:spacing w:line="225" w:lineRule="exact"/>
              <w:ind w:left="71"/>
              <w:rPr>
                <w:b/>
                <w:sz w:val="20"/>
              </w:rPr>
            </w:pPr>
            <w:r>
              <w:rPr>
                <w:b/>
                <w:sz w:val="20"/>
              </w:rPr>
              <w:t>Menge</w:t>
            </w:r>
          </w:p>
        </w:tc>
        <w:tc>
          <w:tcPr>
            <w:tcW w:w="6665" w:type="dxa"/>
          </w:tcPr>
          <w:p>
            <w:pPr>
              <w:pStyle w:val="TableParagraph"/>
              <w:spacing w:line="225" w:lineRule="exact"/>
              <w:ind w:left="71"/>
              <w:rPr>
                <w:b/>
                <w:sz w:val="20"/>
              </w:rPr>
            </w:pPr>
            <w:r>
              <w:rPr>
                <w:b/>
                <w:sz w:val="20"/>
              </w:rPr>
              <w:t>Beschreibung</w:t>
            </w:r>
          </w:p>
        </w:tc>
        <w:tc>
          <w:tcPr>
            <w:tcW w:w="850" w:type="dxa"/>
          </w:tcPr>
          <w:p>
            <w:pPr>
              <w:pStyle w:val="TableParagraph"/>
              <w:spacing w:line="225" w:lineRule="exact"/>
              <w:ind w:left="68"/>
              <w:rPr>
                <w:b/>
                <w:sz w:val="20"/>
              </w:rPr>
            </w:pPr>
            <w:r>
              <w:rPr>
                <w:b/>
                <w:sz w:val="20"/>
              </w:rPr>
              <w:t>EP</w:t>
            </w:r>
          </w:p>
        </w:tc>
        <w:tc>
          <w:tcPr>
            <w:tcW w:w="828" w:type="dxa"/>
          </w:tcPr>
          <w:p>
            <w:pPr>
              <w:pStyle w:val="TableParagraph"/>
              <w:spacing w:line="225" w:lineRule="exact"/>
              <w:ind w:left="70"/>
              <w:rPr>
                <w:b/>
                <w:sz w:val="20"/>
              </w:rPr>
            </w:pPr>
            <w:r>
              <w:rPr>
                <w:b/>
                <w:sz w:val="20"/>
              </w:rPr>
              <w:t>GP</w:t>
            </w:r>
          </w:p>
        </w:tc>
      </w:tr>
      <w:tr>
        <w:trPr>
          <w:trHeight w:val="3225" w:hRule="atLeast"/>
        </w:trPr>
        <w:tc>
          <w:tcPr>
            <w:tcW w:w="660" w:type="dxa"/>
          </w:tcPr>
          <w:p>
            <w:pPr>
              <w:pStyle w:val="TableParagraph"/>
              <w:rPr>
                <w:rFonts w:ascii="Times New Roman"/>
                <w:sz w:val="20"/>
              </w:rPr>
            </w:pPr>
          </w:p>
        </w:tc>
        <w:tc>
          <w:tcPr>
            <w:tcW w:w="826" w:type="dxa"/>
          </w:tcPr>
          <w:p>
            <w:pPr>
              <w:pStyle w:val="TableParagraph"/>
              <w:rPr>
                <w:rFonts w:ascii="Times New Roman"/>
                <w:sz w:val="20"/>
              </w:rPr>
            </w:pPr>
          </w:p>
        </w:tc>
        <w:tc>
          <w:tcPr>
            <w:tcW w:w="6665" w:type="dxa"/>
          </w:tcPr>
          <w:p>
            <w:pPr>
              <w:pStyle w:val="TableParagraph"/>
              <w:spacing w:before="8"/>
              <w:rPr>
                <w:sz w:val="22"/>
              </w:rPr>
            </w:pPr>
          </w:p>
          <w:p>
            <w:pPr>
              <w:pStyle w:val="TableParagraph"/>
              <w:spacing w:line="278" w:lineRule="auto"/>
              <w:ind w:left="71" w:right="827"/>
              <w:rPr>
                <w:sz w:val="20"/>
              </w:rPr>
            </w:pPr>
            <w:r>
              <w:rPr>
                <w:b/>
                <w:sz w:val="20"/>
              </w:rPr>
              <w:t>An-/Abschlussset </w:t>
            </w:r>
            <w:r>
              <w:rPr>
                <w:sz w:val="20"/>
              </w:rPr>
              <w:t>in Warmschrumpftechnik für Gehäusedirekteinführung, geeignet für Heizbänder mit Polyolefin Außenmantel.</w:t>
            </w:r>
          </w:p>
          <w:p>
            <w:pPr>
              <w:pStyle w:val="TableParagraph"/>
              <w:spacing w:line="276" w:lineRule="auto"/>
              <w:ind w:left="71" w:right="816"/>
              <w:rPr>
                <w:sz w:val="20"/>
              </w:rPr>
            </w:pPr>
            <w:r>
              <w:rPr>
                <w:sz w:val="20"/>
              </w:rPr>
              <w:t>Bestehend aus: Heizbandanschluss mit M20 Verschraubung und Heizband Endabschluss</w:t>
            </w:r>
          </w:p>
          <w:p>
            <w:pPr>
              <w:pStyle w:val="TableParagraph"/>
              <w:rPr>
                <w:sz w:val="22"/>
              </w:rPr>
            </w:pPr>
          </w:p>
          <w:p>
            <w:pPr>
              <w:pStyle w:val="TableParagraph"/>
              <w:spacing w:before="8"/>
              <w:rPr>
                <w:sz w:val="23"/>
              </w:rPr>
            </w:pPr>
          </w:p>
          <w:p>
            <w:pPr>
              <w:pStyle w:val="TableParagraph"/>
              <w:tabs>
                <w:tab w:pos="2516" w:val="left" w:leader="none"/>
              </w:tabs>
              <w:ind w:left="71"/>
              <w:rPr>
                <w:sz w:val="20"/>
              </w:rPr>
            </w:pPr>
            <w:r>
              <w:rPr>
                <w:sz w:val="20"/>
              </w:rPr>
              <w:t>Fabrikat</w:t>
            </w:r>
            <w:r>
              <w:rPr>
                <w:rFonts w:ascii="Times New Roman"/>
                <w:sz w:val="20"/>
              </w:rPr>
              <w:tab/>
            </w:r>
            <w:r>
              <w:rPr>
                <w:sz w:val="20"/>
              </w:rPr>
              <w:t>Quintex</w:t>
            </w:r>
          </w:p>
          <w:p>
            <w:pPr>
              <w:pStyle w:val="TableParagraph"/>
              <w:tabs>
                <w:tab w:pos="2516" w:val="left" w:leader="none"/>
                <w:tab w:pos="4684" w:val="left" w:leader="none"/>
              </w:tabs>
              <w:spacing w:before="34"/>
              <w:ind w:left="71"/>
              <w:rPr>
                <w:sz w:val="20"/>
              </w:rPr>
            </w:pPr>
            <w:r>
              <w:rPr>
                <w:sz w:val="20"/>
              </w:rPr>
              <w:t>Typ</w:t>
            </w:r>
            <w:r>
              <w:rPr>
                <w:rFonts w:ascii="Times New Roman"/>
                <w:sz w:val="20"/>
              </w:rPr>
              <w:tab/>
            </w:r>
            <w:r>
              <w:rPr>
                <w:sz w:val="20"/>
              </w:rPr>
              <w:t>IAL3SAG1</w:t>
            </w:r>
            <w:r>
              <w:rPr>
                <w:rFonts w:ascii="Times New Roman"/>
                <w:sz w:val="20"/>
              </w:rPr>
              <w:tab/>
            </w:r>
            <w:r>
              <w:rPr>
                <w:sz w:val="20"/>
              </w:rPr>
              <w:t>liefern und</w:t>
            </w:r>
            <w:r>
              <w:rPr>
                <w:spacing w:val="-9"/>
                <w:sz w:val="20"/>
              </w:rPr>
              <w:t> </w:t>
            </w:r>
            <w:r>
              <w:rPr>
                <w:sz w:val="20"/>
              </w:rPr>
              <w:t>montieren</w:t>
            </w:r>
          </w:p>
        </w:tc>
        <w:tc>
          <w:tcPr>
            <w:tcW w:w="850" w:type="dxa"/>
          </w:tcPr>
          <w:p>
            <w:pPr>
              <w:pStyle w:val="TableParagraph"/>
              <w:spacing w:before="10"/>
              <w:rPr>
                <w:sz w:val="22"/>
              </w:rPr>
            </w:pPr>
          </w:p>
          <w:p>
            <w:pPr>
              <w:pStyle w:val="TableParagraph"/>
              <w:ind w:right="104"/>
              <w:jc w:val="right"/>
              <w:rPr>
                <w:sz w:val="20"/>
              </w:rPr>
            </w:pPr>
            <w:r>
              <w:rPr>
                <w:sz w:val="20"/>
              </w:rPr>
              <w:t>12,10</w:t>
            </w:r>
          </w:p>
        </w:tc>
        <w:tc>
          <w:tcPr>
            <w:tcW w:w="828" w:type="dxa"/>
          </w:tcPr>
          <w:p>
            <w:pPr>
              <w:pStyle w:val="TableParagraph"/>
              <w:rPr>
                <w:rFonts w:ascii="Times New Roman"/>
                <w:sz w:val="20"/>
              </w:rPr>
            </w:pPr>
          </w:p>
        </w:tc>
      </w:tr>
      <w:tr>
        <w:trPr>
          <w:trHeight w:val="3174" w:hRule="atLeast"/>
        </w:trPr>
        <w:tc>
          <w:tcPr>
            <w:tcW w:w="660" w:type="dxa"/>
          </w:tcPr>
          <w:p>
            <w:pPr>
              <w:pStyle w:val="TableParagraph"/>
              <w:rPr>
                <w:rFonts w:ascii="Times New Roman"/>
                <w:sz w:val="20"/>
              </w:rPr>
            </w:pPr>
          </w:p>
        </w:tc>
        <w:tc>
          <w:tcPr>
            <w:tcW w:w="826" w:type="dxa"/>
          </w:tcPr>
          <w:p>
            <w:pPr>
              <w:pStyle w:val="TableParagraph"/>
              <w:rPr>
                <w:rFonts w:ascii="Times New Roman"/>
                <w:sz w:val="20"/>
              </w:rPr>
            </w:pPr>
          </w:p>
        </w:tc>
        <w:tc>
          <w:tcPr>
            <w:tcW w:w="6665" w:type="dxa"/>
          </w:tcPr>
          <w:p>
            <w:pPr>
              <w:pStyle w:val="TableParagraph"/>
              <w:spacing w:before="10"/>
              <w:rPr>
                <w:sz w:val="22"/>
              </w:rPr>
            </w:pPr>
          </w:p>
          <w:p>
            <w:pPr>
              <w:pStyle w:val="TableParagraph"/>
              <w:spacing w:line="276" w:lineRule="auto"/>
              <w:ind w:left="71" w:right="240"/>
              <w:rPr>
                <w:sz w:val="20"/>
              </w:rPr>
            </w:pPr>
            <w:r>
              <w:rPr>
                <w:b/>
                <w:sz w:val="20"/>
              </w:rPr>
              <w:t>Heizbandverbindungsset </w:t>
            </w:r>
            <w:r>
              <w:rPr>
                <w:sz w:val="20"/>
              </w:rPr>
              <w:t>in Warmschrumpftechnik für Heizbänder mit Polyolefin Außenmantel bestehend aus Klemmstein und Schrumpfschläuchen zur Verbindung von zwei selbstbegrenzenden Heizleitungen vom Typ CLD…CT</w:t>
            </w:r>
          </w:p>
          <w:p>
            <w:pPr>
              <w:pStyle w:val="TableParagraph"/>
              <w:rPr>
                <w:sz w:val="22"/>
              </w:rPr>
            </w:pPr>
          </w:p>
          <w:p>
            <w:pPr>
              <w:pStyle w:val="TableParagraph"/>
              <w:spacing w:before="2"/>
              <w:rPr>
                <w:sz w:val="24"/>
              </w:rPr>
            </w:pPr>
          </w:p>
          <w:p>
            <w:pPr>
              <w:pStyle w:val="TableParagraph"/>
              <w:tabs>
                <w:tab w:pos="2516" w:val="left" w:leader="none"/>
              </w:tabs>
              <w:ind w:left="71"/>
              <w:rPr>
                <w:sz w:val="20"/>
              </w:rPr>
            </w:pPr>
            <w:r>
              <w:rPr>
                <w:sz w:val="20"/>
              </w:rPr>
              <w:t>Fabrikat</w:t>
            </w:r>
            <w:r>
              <w:rPr>
                <w:rFonts w:ascii="Times New Roman"/>
                <w:sz w:val="20"/>
              </w:rPr>
              <w:tab/>
            </w:r>
            <w:r>
              <w:rPr>
                <w:sz w:val="20"/>
              </w:rPr>
              <w:t>Quintex</w:t>
            </w:r>
          </w:p>
          <w:p>
            <w:pPr>
              <w:pStyle w:val="TableParagraph"/>
              <w:tabs>
                <w:tab w:pos="2516" w:val="left" w:leader="none"/>
                <w:tab w:pos="4693" w:val="left" w:leader="none"/>
              </w:tabs>
              <w:spacing w:before="34"/>
              <w:ind w:left="71"/>
              <w:rPr>
                <w:sz w:val="20"/>
              </w:rPr>
            </w:pPr>
            <w:r>
              <w:rPr>
                <w:sz w:val="20"/>
              </w:rPr>
              <w:t>Typ</w:t>
            </w:r>
            <w:r>
              <w:rPr>
                <w:rFonts w:ascii="Times New Roman"/>
                <w:sz w:val="20"/>
              </w:rPr>
              <w:tab/>
            </w:r>
            <w:r>
              <w:rPr>
                <w:sz w:val="20"/>
              </w:rPr>
              <w:t>IAL3VK1</w:t>
            </w:r>
            <w:r>
              <w:rPr>
                <w:rFonts w:ascii="Times New Roman"/>
                <w:sz w:val="20"/>
              </w:rPr>
              <w:tab/>
            </w:r>
            <w:r>
              <w:rPr>
                <w:sz w:val="20"/>
              </w:rPr>
              <w:t>liefern und</w:t>
            </w:r>
            <w:r>
              <w:rPr>
                <w:spacing w:val="2"/>
                <w:sz w:val="20"/>
              </w:rPr>
              <w:t> </w:t>
            </w:r>
            <w:r>
              <w:rPr>
                <w:sz w:val="20"/>
              </w:rPr>
              <w:t>montieren</w:t>
            </w:r>
          </w:p>
        </w:tc>
        <w:tc>
          <w:tcPr>
            <w:tcW w:w="850" w:type="dxa"/>
          </w:tcPr>
          <w:p>
            <w:pPr>
              <w:pStyle w:val="TableParagraph"/>
              <w:spacing w:before="1"/>
              <w:rPr>
                <w:sz w:val="23"/>
              </w:rPr>
            </w:pPr>
          </w:p>
          <w:p>
            <w:pPr>
              <w:pStyle w:val="TableParagraph"/>
              <w:ind w:right="104"/>
              <w:jc w:val="right"/>
              <w:rPr>
                <w:sz w:val="20"/>
              </w:rPr>
            </w:pPr>
            <w:r>
              <w:rPr>
                <w:sz w:val="20"/>
              </w:rPr>
              <w:t>18,80</w:t>
            </w:r>
          </w:p>
        </w:tc>
        <w:tc>
          <w:tcPr>
            <w:tcW w:w="828" w:type="dxa"/>
          </w:tcPr>
          <w:p>
            <w:pPr>
              <w:pStyle w:val="TableParagraph"/>
              <w:rPr>
                <w:rFonts w:ascii="Times New Roman"/>
                <w:sz w:val="20"/>
              </w:rPr>
            </w:pPr>
          </w:p>
        </w:tc>
      </w:tr>
      <w:tr>
        <w:trPr>
          <w:trHeight w:val="2910" w:hRule="atLeast"/>
        </w:trPr>
        <w:tc>
          <w:tcPr>
            <w:tcW w:w="660" w:type="dxa"/>
          </w:tcPr>
          <w:p>
            <w:pPr>
              <w:pStyle w:val="TableParagraph"/>
              <w:rPr>
                <w:rFonts w:ascii="Times New Roman"/>
                <w:sz w:val="20"/>
              </w:rPr>
            </w:pPr>
          </w:p>
        </w:tc>
        <w:tc>
          <w:tcPr>
            <w:tcW w:w="826" w:type="dxa"/>
          </w:tcPr>
          <w:p>
            <w:pPr>
              <w:pStyle w:val="TableParagraph"/>
              <w:rPr>
                <w:rFonts w:ascii="Times New Roman"/>
                <w:sz w:val="20"/>
              </w:rPr>
            </w:pPr>
          </w:p>
        </w:tc>
        <w:tc>
          <w:tcPr>
            <w:tcW w:w="6665" w:type="dxa"/>
          </w:tcPr>
          <w:p>
            <w:pPr>
              <w:pStyle w:val="TableParagraph"/>
              <w:spacing w:before="8"/>
              <w:rPr>
                <w:sz w:val="22"/>
              </w:rPr>
            </w:pPr>
          </w:p>
          <w:p>
            <w:pPr>
              <w:pStyle w:val="TableParagraph"/>
              <w:spacing w:line="278" w:lineRule="auto"/>
              <w:ind w:left="71" w:right="160"/>
              <w:jc w:val="both"/>
              <w:rPr>
                <w:sz w:val="20"/>
              </w:rPr>
            </w:pPr>
            <w:r>
              <w:rPr>
                <w:b/>
                <w:sz w:val="20"/>
              </w:rPr>
              <w:t>Heizband-T-Abzweig </w:t>
            </w:r>
            <w:r>
              <w:rPr>
                <w:sz w:val="20"/>
              </w:rPr>
              <w:t>in drei Richtungen in kompakter</w:t>
            </w:r>
            <w:r>
              <w:rPr>
                <w:spacing w:val="-35"/>
                <w:sz w:val="20"/>
              </w:rPr>
              <w:t> </w:t>
            </w:r>
            <w:r>
              <w:rPr>
                <w:sz w:val="20"/>
              </w:rPr>
              <w:t>Anschlusstechnik mit Klemmstein. Auch als Stromeinspeisung mit 2 Heizbandanschlüssen verwendbar. Zur witterungsgeschützten Verlegung außerhalb der</w:t>
            </w:r>
            <w:r>
              <w:rPr>
                <w:spacing w:val="-33"/>
                <w:sz w:val="20"/>
              </w:rPr>
              <w:t> </w:t>
            </w:r>
            <w:r>
              <w:rPr>
                <w:sz w:val="20"/>
              </w:rPr>
              <w:t>Rinne.</w:t>
            </w:r>
          </w:p>
          <w:p>
            <w:pPr>
              <w:pStyle w:val="TableParagraph"/>
              <w:rPr>
                <w:sz w:val="22"/>
              </w:rPr>
            </w:pPr>
          </w:p>
          <w:p>
            <w:pPr>
              <w:pStyle w:val="TableParagraph"/>
              <w:spacing w:before="7"/>
              <w:rPr>
                <w:sz w:val="23"/>
              </w:rPr>
            </w:pPr>
          </w:p>
          <w:p>
            <w:pPr>
              <w:pStyle w:val="TableParagraph"/>
              <w:tabs>
                <w:tab w:pos="2516" w:val="left" w:leader="none"/>
              </w:tabs>
              <w:ind w:left="71"/>
              <w:rPr>
                <w:sz w:val="20"/>
              </w:rPr>
            </w:pPr>
            <w:r>
              <w:rPr>
                <w:sz w:val="20"/>
              </w:rPr>
              <w:t>Fabrikat</w:t>
            </w:r>
            <w:r>
              <w:rPr>
                <w:rFonts w:ascii="Times New Roman"/>
                <w:sz w:val="20"/>
              </w:rPr>
              <w:tab/>
            </w:r>
            <w:r>
              <w:rPr>
                <w:sz w:val="20"/>
              </w:rPr>
              <w:t>Quintex</w:t>
            </w:r>
          </w:p>
          <w:p>
            <w:pPr>
              <w:pStyle w:val="TableParagraph"/>
              <w:tabs>
                <w:tab w:pos="2516" w:val="left" w:leader="none"/>
              </w:tabs>
              <w:spacing w:before="36"/>
              <w:ind w:left="71"/>
              <w:rPr>
                <w:sz w:val="20"/>
              </w:rPr>
            </w:pPr>
            <w:r>
              <w:rPr>
                <w:sz w:val="20"/>
              </w:rPr>
              <w:t>Typ</w:t>
            </w:r>
            <w:r>
              <w:rPr>
                <w:rFonts w:ascii="Times New Roman"/>
                <w:sz w:val="20"/>
              </w:rPr>
              <w:tab/>
            </w:r>
            <w:r>
              <w:rPr>
                <w:sz w:val="20"/>
              </w:rPr>
              <w:t>IAL5ST</w:t>
            </w:r>
          </w:p>
          <w:p>
            <w:pPr>
              <w:pStyle w:val="TableParagraph"/>
              <w:tabs>
                <w:tab w:pos="2516" w:val="left" w:leader="none"/>
              </w:tabs>
              <w:spacing w:before="34"/>
              <w:ind w:left="71"/>
              <w:rPr>
                <w:sz w:val="20"/>
              </w:rPr>
            </w:pPr>
            <w:r>
              <w:rPr>
                <w:sz w:val="20"/>
              </w:rPr>
              <w:t>Strombelastbarkeit:</w:t>
            </w:r>
            <w:r>
              <w:rPr>
                <w:rFonts w:ascii="Times New Roman"/>
                <w:sz w:val="20"/>
              </w:rPr>
              <w:tab/>
            </w:r>
            <w:r>
              <w:rPr>
                <w:sz w:val="20"/>
              </w:rPr>
              <w:t>25A</w:t>
            </w:r>
            <w:r>
              <w:rPr>
                <w:spacing w:val="-2"/>
                <w:sz w:val="20"/>
              </w:rPr>
              <w:t> </w:t>
            </w:r>
            <w:r>
              <w:rPr>
                <w:sz w:val="20"/>
              </w:rPr>
              <w:t>max.</w:t>
            </w:r>
          </w:p>
          <w:p>
            <w:pPr>
              <w:pStyle w:val="TableParagraph"/>
              <w:tabs>
                <w:tab w:pos="2526" w:val="left" w:leader="none"/>
                <w:tab w:pos="4660" w:val="left" w:leader="none"/>
              </w:tabs>
              <w:spacing w:before="34"/>
              <w:ind w:left="71"/>
              <w:rPr>
                <w:sz w:val="20"/>
              </w:rPr>
            </w:pPr>
            <w:r>
              <w:rPr>
                <w:sz w:val="20"/>
              </w:rPr>
              <w:t>Schutzart:</w:t>
            </w:r>
            <w:r>
              <w:rPr>
                <w:rFonts w:ascii="Times New Roman"/>
                <w:sz w:val="20"/>
              </w:rPr>
              <w:tab/>
            </w:r>
            <w:r>
              <w:rPr>
                <w:sz w:val="20"/>
              </w:rPr>
              <w:t>IP68</w:t>
            </w:r>
            <w:r>
              <w:rPr>
                <w:rFonts w:ascii="Times New Roman"/>
                <w:sz w:val="20"/>
              </w:rPr>
              <w:tab/>
            </w:r>
            <w:r>
              <w:rPr>
                <w:sz w:val="20"/>
              </w:rPr>
              <w:t>liefern und</w:t>
            </w:r>
            <w:r>
              <w:rPr>
                <w:spacing w:val="-9"/>
                <w:sz w:val="20"/>
              </w:rPr>
              <w:t> </w:t>
            </w:r>
            <w:r>
              <w:rPr>
                <w:sz w:val="20"/>
              </w:rPr>
              <w:t>montieren</w:t>
            </w:r>
          </w:p>
        </w:tc>
        <w:tc>
          <w:tcPr>
            <w:tcW w:w="850" w:type="dxa"/>
          </w:tcPr>
          <w:p>
            <w:pPr>
              <w:pStyle w:val="TableParagraph"/>
              <w:spacing w:before="10"/>
              <w:rPr>
                <w:sz w:val="22"/>
              </w:rPr>
            </w:pPr>
          </w:p>
          <w:p>
            <w:pPr>
              <w:pStyle w:val="TableParagraph"/>
              <w:ind w:right="104"/>
              <w:jc w:val="right"/>
              <w:rPr>
                <w:sz w:val="20"/>
              </w:rPr>
            </w:pPr>
            <w:r>
              <w:rPr>
                <w:sz w:val="20"/>
              </w:rPr>
              <w:t>43,50</w:t>
            </w:r>
          </w:p>
        </w:tc>
        <w:tc>
          <w:tcPr>
            <w:tcW w:w="828" w:type="dxa"/>
          </w:tcPr>
          <w:p>
            <w:pPr>
              <w:pStyle w:val="TableParagraph"/>
              <w:rPr>
                <w:rFonts w:ascii="Times New Roman"/>
                <w:sz w:val="20"/>
              </w:rPr>
            </w:pPr>
          </w:p>
        </w:tc>
      </w:tr>
    </w:tbl>
    <w:p>
      <w:pPr>
        <w:spacing w:after="0"/>
        <w:rPr>
          <w:rFonts w:ascii="Times New Roman"/>
          <w:sz w:val="20"/>
        </w:rPr>
        <w:sectPr>
          <w:pgSz w:w="11900" w:h="16840"/>
          <w:pgMar w:header="286" w:footer="890" w:top="1620" w:bottom="1080" w:left="700" w:right="580"/>
        </w:sectPr>
      </w:pPr>
    </w:p>
    <w:p>
      <w:pPr>
        <w:pStyle w:val="BodyText"/>
        <w:rPr>
          <w:sz w:val="16"/>
        </w:rPr>
      </w:pPr>
      <w:r>
        <w:rPr/>
        <w:pict>
          <v:group style="position:absolute;margin-left:0pt;margin-top:781.560303pt;width:592.6pt;height:14.55pt;mso-position-horizontal-relative:page;mso-position-vertical-relative:page;z-index:251664384" coordorigin="0,15631" coordsize="11852,291">
            <v:rect style="position:absolute;left:8560;top:15631;width:3291;height:291" filled="true" fillcolor="#f9e300" stroked="false">
              <v:fill type="solid"/>
            </v:rect>
            <v:rect style="position:absolute;left:0;top:15631;width:8561;height:291" filled="true" fillcolor="#0089c1" stroked="false">
              <v:fill type="solid"/>
            </v:rect>
            <w10:wrap type="none"/>
          </v:group>
        </w:pict>
      </w:r>
    </w:p>
    <w:tbl>
      <w:tblPr>
        <w:tblW w:w="0" w:type="auto"/>
        <w:jc w:val="left"/>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826"/>
        <w:gridCol w:w="6665"/>
        <w:gridCol w:w="850"/>
        <w:gridCol w:w="828"/>
      </w:tblGrid>
      <w:tr>
        <w:trPr>
          <w:trHeight w:val="2469" w:hRule="atLeast"/>
        </w:trPr>
        <w:tc>
          <w:tcPr>
            <w:tcW w:w="660" w:type="dxa"/>
          </w:tcPr>
          <w:p>
            <w:pPr>
              <w:pStyle w:val="TableParagraph"/>
              <w:rPr>
                <w:rFonts w:ascii="Times New Roman"/>
                <w:sz w:val="18"/>
              </w:rPr>
            </w:pPr>
          </w:p>
        </w:tc>
        <w:tc>
          <w:tcPr>
            <w:tcW w:w="826" w:type="dxa"/>
          </w:tcPr>
          <w:p>
            <w:pPr>
              <w:pStyle w:val="TableParagraph"/>
              <w:rPr>
                <w:rFonts w:ascii="Times New Roman"/>
                <w:sz w:val="18"/>
              </w:rPr>
            </w:pPr>
          </w:p>
        </w:tc>
        <w:tc>
          <w:tcPr>
            <w:tcW w:w="6665" w:type="dxa"/>
          </w:tcPr>
          <w:p>
            <w:pPr>
              <w:pStyle w:val="TableParagraph"/>
              <w:spacing w:before="8"/>
              <w:rPr>
                <w:sz w:val="22"/>
              </w:rPr>
            </w:pPr>
          </w:p>
          <w:p>
            <w:pPr>
              <w:pStyle w:val="TableParagraph"/>
              <w:spacing w:line="280" w:lineRule="auto"/>
              <w:ind w:left="71" w:right="1113"/>
              <w:rPr>
                <w:sz w:val="20"/>
              </w:rPr>
            </w:pPr>
            <w:r>
              <w:rPr>
                <w:b/>
                <w:sz w:val="20"/>
              </w:rPr>
              <w:t>Heizband Endabschluss </w:t>
            </w:r>
            <w:r>
              <w:rPr>
                <w:sz w:val="20"/>
              </w:rPr>
              <w:t>einzeln, in Warmschrumpftechnik Für Heizbänder mit Polyolefin Außenmantel</w:t>
            </w:r>
          </w:p>
          <w:p>
            <w:pPr>
              <w:pStyle w:val="TableParagraph"/>
              <w:rPr>
                <w:sz w:val="22"/>
              </w:rPr>
            </w:pPr>
          </w:p>
          <w:p>
            <w:pPr>
              <w:pStyle w:val="TableParagraph"/>
              <w:spacing w:before="5"/>
              <w:rPr>
                <w:sz w:val="23"/>
              </w:rPr>
            </w:pPr>
          </w:p>
          <w:p>
            <w:pPr>
              <w:pStyle w:val="TableParagraph"/>
              <w:tabs>
                <w:tab w:pos="2516" w:val="left" w:leader="none"/>
              </w:tabs>
              <w:ind w:left="71"/>
              <w:rPr>
                <w:sz w:val="20"/>
              </w:rPr>
            </w:pPr>
            <w:r>
              <w:rPr>
                <w:sz w:val="20"/>
              </w:rPr>
              <w:t>Fabrikat</w:t>
            </w:r>
            <w:r>
              <w:rPr>
                <w:rFonts w:ascii="Times New Roman"/>
                <w:sz w:val="20"/>
              </w:rPr>
              <w:tab/>
            </w:r>
            <w:r>
              <w:rPr>
                <w:sz w:val="20"/>
              </w:rPr>
              <w:t>Quintex</w:t>
            </w:r>
          </w:p>
          <w:p>
            <w:pPr>
              <w:pStyle w:val="TableParagraph"/>
              <w:tabs>
                <w:tab w:pos="2516" w:val="left" w:leader="none"/>
                <w:tab w:pos="4672" w:val="left" w:leader="none"/>
              </w:tabs>
              <w:spacing w:before="34"/>
              <w:ind w:left="71"/>
              <w:rPr>
                <w:sz w:val="20"/>
              </w:rPr>
            </w:pPr>
            <w:r>
              <w:rPr>
                <w:sz w:val="20"/>
              </w:rPr>
              <w:t>Typ</w:t>
            </w:r>
            <w:r>
              <w:rPr>
                <w:rFonts w:ascii="Times New Roman"/>
                <w:sz w:val="20"/>
              </w:rPr>
              <w:tab/>
            </w:r>
            <w:r>
              <w:rPr>
                <w:sz w:val="20"/>
              </w:rPr>
              <w:t>IAL3E</w:t>
            </w:r>
            <w:r>
              <w:rPr>
                <w:rFonts w:ascii="Times New Roman"/>
                <w:sz w:val="20"/>
              </w:rPr>
              <w:tab/>
            </w:r>
            <w:r>
              <w:rPr>
                <w:sz w:val="20"/>
              </w:rPr>
              <w:t>liefern und</w:t>
            </w:r>
            <w:r>
              <w:rPr>
                <w:spacing w:val="-9"/>
                <w:sz w:val="20"/>
              </w:rPr>
              <w:t> </w:t>
            </w:r>
            <w:r>
              <w:rPr>
                <w:sz w:val="20"/>
              </w:rPr>
              <w:t>montieren</w:t>
            </w:r>
          </w:p>
        </w:tc>
        <w:tc>
          <w:tcPr>
            <w:tcW w:w="850" w:type="dxa"/>
          </w:tcPr>
          <w:p>
            <w:pPr>
              <w:pStyle w:val="TableParagraph"/>
              <w:spacing w:before="10"/>
              <w:rPr>
                <w:sz w:val="22"/>
              </w:rPr>
            </w:pPr>
          </w:p>
          <w:p>
            <w:pPr>
              <w:pStyle w:val="TableParagraph"/>
              <w:ind w:right="104"/>
              <w:jc w:val="right"/>
              <w:rPr>
                <w:sz w:val="20"/>
              </w:rPr>
            </w:pPr>
            <w:r>
              <w:rPr>
                <w:w w:val="95"/>
                <w:sz w:val="20"/>
              </w:rPr>
              <w:t>4,90</w:t>
            </w:r>
          </w:p>
        </w:tc>
        <w:tc>
          <w:tcPr>
            <w:tcW w:w="828" w:type="dxa"/>
          </w:tcPr>
          <w:p>
            <w:pPr>
              <w:pStyle w:val="TableParagraph"/>
              <w:rPr>
                <w:rFonts w:ascii="Times New Roman"/>
                <w:sz w:val="18"/>
              </w:rPr>
            </w:pPr>
          </w:p>
        </w:tc>
      </w:tr>
      <w:tr>
        <w:trPr>
          <w:trHeight w:val="2531" w:hRule="atLeast"/>
        </w:trPr>
        <w:tc>
          <w:tcPr>
            <w:tcW w:w="660" w:type="dxa"/>
          </w:tcPr>
          <w:p>
            <w:pPr>
              <w:pStyle w:val="TableParagraph"/>
              <w:rPr>
                <w:rFonts w:ascii="Times New Roman"/>
                <w:sz w:val="18"/>
              </w:rPr>
            </w:pPr>
          </w:p>
        </w:tc>
        <w:tc>
          <w:tcPr>
            <w:tcW w:w="826" w:type="dxa"/>
          </w:tcPr>
          <w:p>
            <w:pPr>
              <w:pStyle w:val="TableParagraph"/>
              <w:rPr>
                <w:rFonts w:ascii="Times New Roman"/>
                <w:sz w:val="18"/>
              </w:rPr>
            </w:pPr>
          </w:p>
        </w:tc>
        <w:tc>
          <w:tcPr>
            <w:tcW w:w="6665" w:type="dxa"/>
          </w:tcPr>
          <w:p>
            <w:pPr>
              <w:pStyle w:val="TableParagraph"/>
              <w:spacing w:before="8"/>
              <w:rPr>
                <w:sz w:val="19"/>
              </w:rPr>
            </w:pPr>
          </w:p>
          <w:p>
            <w:pPr>
              <w:pStyle w:val="TableParagraph"/>
              <w:spacing w:line="242" w:lineRule="auto" w:before="1"/>
              <w:ind w:left="71" w:right="679"/>
              <w:rPr>
                <w:sz w:val="20"/>
              </w:rPr>
            </w:pPr>
            <w:r>
              <w:rPr>
                <w:b/>
                <w:sz w:val="20"/>
              </w:rPr>
              <w:t>Abzweigdose</w:t>
            </w:r>
            <w:r>
              <w:rPr>
                <w:sz w:val="20"/>
              </w:rPr>
              <w:t>, schwarz, mit Klemmen, ohne Kabelverschraubung, UV-beständig</w:t>
            </w:r>
          </w:p>
          <w:p>
            <w:pPr>
              <w:pStyle w:val="TableParagraph"/>
              <w:spacing w:before="10"/>
              <w:rPr>
                <w:sz w:val="19"/>
              </w:rPr>
            </w:pPr>
          </w:p>
          <w:p>
            <w:pPr>
              <w:pStyle w:val="TableParagraph"/>
              <w:tabs>
                <w:tab w:pos="2526" w:val="left" w:leader="none"/>
              </w:tabs>
              <w:spacing w:line="229" w:lineRule="exact"/>
              <w:ind w:left="71"/>
              <w:rPr>
                <w:sz w:val="20"/>
              </w:rPr>
            </w:pPr>
            <w:r>
              <w:rPr>
                <w:sz w:val="20"/>
              </w:rPr>
              <w:t>Maße:</w:t>
            </w:r>
            <w:r>
              <w:rPr>
                <w:rFonts w:ascii="Times New Roman" w:hAnsi="Times New Roman"/>
                <w:sz w:val="20"/>
              </w:rPr>
              <w:tab/>
            </w:r>
            <w:r>
              <w:rPr>
                <w:sz w:val="20"/>
              </w:rPr>
              <w:t>80x80x52mm</w:t>
            </w:r>
          </w:p>
          <w:p>
            <w:pPr>
              <w:pStyle w:val="TableParagraph"/>
              <w:tabs>
                <w:tab w:pos="2526" w:val="left" w:leader="none"/>
              </w:tabs>
              <w:spacing w:line="229" w:lineRule="exact"/>
              <w:ind w:left="71"/>
              <w:rPr>
                <w:sz w:val="20"/>
              </w:rPr>
            </w:pPr>
            <w:r>
              <w:rPr>
                <w:sz w:val="20"/>
              </w:rPr>
              <w:t>Schutzart:</w:t>
            </w:r>
            <w:r>
              <w:rPr>
                <w:rFonts w:ascii="Times New Roman"/>
                <w:sz w:val="20"/>
              </w:rPr>
              <w:tab/>
            </w:r>
            <w:r>
              <w:rPr>
                <w:sz w:val="20"/>
              </w:rPr>
              <w:t>IP65</w:t>
            </w:r>
          </w:p>
          <w:p>
            <w:pPr>
              <w:pStyle w:val="TableParagraph"/>
              <w:tabs>
                <w:tab w:pos="2504" w:val="left" w:leader="none"/>
              </w:tabs>
              <w:spacing w:before="1"/>
              <w:ind w:left="71"/>
              <w:rPr>
                <w:sz w:val="20"/>
              </w:rPr>
            </w:pPr>
            <w:r>
              <w:rPr>
                <w:sz w:val="20"/>
              </w:rPr>
              <w:t>Klemmenanzahl:</w:t>
            </w:r>
            <w:r>
              <w:rPr>
                <w:rFonts w:ascii="Times New Roman" w:hAnsi="Times New Roman"/>
                <w:sz w:val="20"/>
              </w:rPr>
              <w:tab/>
            </w:r>
            <w:r>
              <w:rPr>
                <w:sz w:val="20"/>
              </w:rPr>
              <w:t>6 Lüsterklemmen</w:t>
            </w:r>
            <w:r>
              <w:rPr>
                <w:spacing w:val="-4"/>
                <w:sz w:val="20"/>
              </w:rPr>
              <w:t> </w:t>
            </w:r>
            <w:r>
              <w:rPr>
                <w:sz w:val="20"/>
              </w:rPr>
              <w:t>2,5mm²</w:t>
            </w:r>
          </w:p>
          <w:p>
            <w:pPr>
              <w:pStyle w:val="TableParagraph"/>
              <w:rPr>
                <w:sz w:val="20"/>
              </w:rPr>
            </w:pPr>
          </w:p>
          <w:p>
            <w:pPr>
              <w:pStyle w:val="TableParagraph"/>
              <w:tabs>
                <w:tab w:pos="2516" w:val="left" w:leader="none"/>
              </w:tabs>
              <w:ind w:left="71"/>
              <w:rPr>
                <w:sz w:val="20"/>
              </w:rPr>
            </w:pPr>
            <w:r>
              <w:rPr>
                <w:sz w:val="20"/>
              </w:rPr>
              <w:t>Fabrikat:</w:t>
            </w:r>
            <w:r>
              <w:rPr>
                <w:rFonts w:ascii="Times New Roman"/>
                <w:sz w:val="20"/>
              </w:rPr>
              <w:tab/>
            </w:r>
            <w:r>
              <w:rPr>
                <w:sz w:val="20"/>
              </w:rPr>
              <w:t>Quintex</w:t>
            </w:r>
          </w:p>
          <w:p>
            <w:pPr>
              <w:pStyle w:val="TableParagraph"/>
              <w:tabs>
                <w:tab w:pos="2516" w:val="left" w:leader="none"/>
                <w:tab w:pos="4684" w:val="left" w:leader="none"/>
              </w:tabs>
              <w:spacing w:before="1"/>
              <w:ind w:left="71"/>
              <w:rPr>
                <w:sz w:val="20"/>
              </w:rPr>
            </w:pPr>
            <w:r>
              <w:rPr>
                <w:sz w:val="20"/>
              </w:rPr>
              <w:t>Typ:</w:t>
            </w:r>
            <w:r>
              <w:rPr>
                <w:rFonts w:ascii="Times New Roman"/>
                <w:sz w:val="20"/>
              </w:rPr>
              <w:tab/>
            </w:r>
            <w:r>
              <w:rPr>
                <w:sz w:val="20"/>
              </w:rPr>
              <w:t>AD3</w:t>
            </w:r>
            <w:r>
              <w:rPr>
                <w:rFonts w:ascii="Times New Roman"/>
                <w:sz w:val="20"/>
              </w:rPr>
              <w:tab/>
            </w:r>
            <w:r>
              <w:rPr>
                <w:sz w:val="20"/>
              </w:rPr>
              <w:t>liefern und</w:t>
            </w:r>
            <w:r>
              <w:rPr>
                <w:spacing w:val="-10"/>
                <w:sz w:val="20"/>
              </w:rPr>
              <w:t> </w:t>
            </w:r>
            <w:r>
              <w:rPr>
                <w:sz w:val="20"/>
              </w:rPr>
              <w:t>montieren</w:t>
            </w:r>
          </w:p>
        </w:tc>
        <w:tc>
          <w:tcPr>
            <w:tcW w:w="850" w:type="dxa"/>
          </w:tcPr>
          <w:p>
            <w:pPr>
              <w:pStyle w:val="TableParagraph"/>
              <w:rPr>
                <w:sz w:val="22"/>
              </w:rPr>
            </w:pPr>
          </w:p>
          <w:p>
            <w:pPr>
              <w:pStyle w:val="TableParagraph"/>
              <w:rPr>
                <w:sz w:val="18"/>
              </w:rPr>
            </w:pPr>
          </w:p>
          <w:p>
            <w:pPr>
              <w:pStyle w:val="TableParagraph"/>
              <w:ind w:right="104"/>
              <w:jc w:val="right"/>
              <w:rPr>
                <w:sz w:val="20"/>
              </w:rPr>
            </w:pPr>
            <w:r>
              <w:rPr>
                <w:sz w:val="20"/>
              </w:rPr>
              <w:t>18,70</w:t>
            </w:r>
          </w:p>
        </w:tc>
        <w:tc>
          <w:tcPr>
            <w:tcW w:w="828" w:type="dxa"/>
          </w:tcPr>
          <w:p>
            <w:pPr>
              <w:pStyle w:val="TableParagraph"/>
              <w:rPr>
                <w:rFonts w:ascii="Times New Roman"/>
                <w:sz w:val="18"/>
              </w:rPr>
            </w:pPr>
          </w:p>
        </w:tc>
      </w:tr>
      <w:tr>
        <w:trPr>
          <w:trHeight w:val="2469" w:hRule="atLeast"/>
        </w:trPr>
        <w:tc>
          <w:tcPr>
            <w:tcW w:w="660" w:type="dxa"/>
          </w:tcPr>
          <w:p>
            <w:pPr>
              <w:pStyle w:val="TableParagraph"/>
              <w:rPr>
                <w:rFonts w:ascii="Times New Roman"/>
                <w:sz w:val="18"/>
              </w:rPr>
            </w:pPr>
          </w:p>
        </w:tc>
        <w:tc>
          <w:tcPr>
            <w:tcW w:w="826" w:type="dxa"/>
          </w:tcPr>
          <w:p>
            <w:pPr>
              <w:pStyle w:val="TableParagraph"/>
              <w:rPr>
                <w:rFonts w:ascii="Times New Roman"/>
                <w:sz w:val="18"/>
              </w:rPr>
            </w:pPr>
          </w:p>
        </w:tc>
        <w:tc>
          <w:tcPr>
            <w:tcW w:w="6665" w:type="dxa"/>
          </w:tcPr>
          <w:p>
            <w:pPr>
              <w:pStyle w:val="TableParagraph"/>
              <w:spacing w:before="6"/>
              <w:rPr>
                <w:sz w:val="19"/>
              </w:rPr>
            </w:pPr>
          </w:p>
          <w:p>
            <w:pPr>
              <w:pStyle w:val="TableParagraph"/>
              <w:spacing w:line="242" w:lineRule="auto"/>
              <w:ind w:left="71" w:right="2285"/>
              <w:rPr>
                <w:sz w:val="20"/>
              </w:rPr>
            </w:pPr>
            <w:r>
              <w:rPr>
                <w:b/>
                <w:sz w:val="20"/>
              </w:rPr>
              <w:t>Gummianschlussleitung, </w:t>
            </w:r>
            <w:r>
              <w:rPr>
                <w:sz w:val="20"/>
              </w:rPr>
              <w:t>3G1,5mm² H07RN-F als Zuleitung für den Heizkreis. Meterware.</w:t>
            </w:r>
          </w:p>
          <w:p>
            <w:pPr>
              <w:pStyle w:val="TableParagraph"/>
              <w:tabs>
                <w:tab w:pos="3148" w:val="right" w:leader="none"/>
              </w:tabs>
              <w:spacing w:before="229"/>
              <w:ind w:left="71"/>
              <w:rPr>
                <w:sz w:val="20"/>
              </w:rPr>
            </w:pPr>
            <w:r>
              <w:rPr>
                <w:sz w:val="20"/>
              </w:rPr>
              <w:t>VDE-Prüfnummer:</w:t>
              <w:tab/>
              <w:t>120083</w:t>
            </w:r>
          </w:p>
          <w:p>
            <w:pPr>
              <w:pStyle w:val="TableParagraph"/>
              <w:spacing w:before="10"/>
              <w:rPr>
                <w:sz w:val="19"/>
              </w:rPr>
            </w:pPr>
          </w:p>
          <w:p>
            <w:pPr>
              <w:pStyle w:val="TableParagraph"/>
              <w:tabs>
                <w:tab w:pos="2516" w:val="left" w:leader="none"/>
              </w:tabs>
              <w:ind w:left="71"/>
              <w:rPr>
                <w:sz w:val="20"/>
              </w:rPr>
            </w:pPr>
            <w:r>
              <w:rPr>
                <w:sz w:val="20"/>
              </w:rPr>
              <w:t>Fabrikat:</w:t>
            </w:r>
            <w:r>
              <w:rPr>
                <w:rFonts w:ascii="Times New Roman"/>
                <w:sz w:val="20"/>
              </w:rPr>
              <w:tab/>
            </w:r>
            <w:r>
              <w:rPr>
                <w:sz w:val="20"/>
              </w:rPr>
              <w:t>Quintex</w:t>
            </w:r>
          </w:p>
          <w:p>
            <w:pPr>
              <w:pStyle w:val="TableParagraph"/>
              <w:tabs>
                <w:tab w:pos="2516" w:val="left" w:leader="none"/>
                <w:tab w:pos="4705" w:val="left" w:leader="none"/>
              </w:tabs>
              <w:spacing w:before="1"/>
              <w:ind w:left="71"/>
              <w:rPr>
                <w:sz w:val="20"/>
              </w:rPr>
            </w:pPr>
            <w:r>
              <w:rPr>
                <w:sz w:val="20"/>
              </w:rPr>
              <w:t>Typ:</w:t>
            </w:r>
            <w:r>
              <w:rPr>
                <w:rFonts w:ascii="Times New Roman"/>
                <w:sz w:val="20"/>
              </w:rPr>
              <w:tab/>
            </w:r>
            <w:r>
              <w:rPr>
                <w:sz w:val="20"/>
              </w:rPr>
              <w:t>AL3</w:t>
            </w:r>
            <w:r>
              <w:rPr>
                <w:rFonts w:ascii="Times New Roman"/>
                <w:sz w:val="20"/>
              </w:rPr>
              <w:tab/>
            </w:r>
            <w:r>
              <w:rPr>
                <w:sz w:val="20"/>
              </w:rPr>
              <w:t>liefern und</w:t>
            </w:r>
            <w:r>
              <w:rPr>
                <w:spacing w:val="-10"/>
                <w:sz w:val="20"/>
              </w:rPr>
              <w:t> </w:t>
            </w:r>
            <w:r>
              <w:rPr>
                <w:sz w:val="20"/>
              </w:rPr>
              <w:t>montieren</w:t>
            </w:r>
          </w:p>
        </w:tc>
        <w:tc>
          <w:tcPr>
            <w:tcW w:w="850" w:type="dxa"/>
          </w:tcPr>
          <w:p>
            <w:pPr>
              <w:pStyle w:val="TableParagraph"/>
              <w:rPr>
                <w:sz w:val="22"/>
              </w:rPr>
            </w:pPr>
          </w:p>
          <w:p>
            <w:pPr>
              <w:pStyle w:val="TableParagraph"/>
              <w:spacing w:before="9"/>
              <w:rPr>
                <w:sz w:val="17"/>
              </w:rPr>
            </w:pPr>
          </w:p>
          <w:p>
            <w:pPr>
              <w:pStyle w:val="TableParagraph"/>
              <w:ind w:right="104"/>
              <w:jc w:val="right"/>
              <w:rPr>
                <w:sz w:val="20"/>
              </w:rPr>
            </w:pPr>
            <w:r>
              <w:rPr>
                <w:w w:val="95"/>
                <w:sz w:val="20"/>
              </w:rPr>
              <w:t>3,90</w:t>
            </w:r>
          </w:p>
        </w:tc>
        <w:tc>
          <w:tcPr>
            <w:tcW w:w="828" w:type="dxa"/>
          </w:tcPr>
          <w:p>
            <w:pPr>
              <w:pStyle w:val="TableParagraph"/>
              <w:rPr>
                <w:rFonts w:ascii="Times New Roman"/>
                <w:sz w:val="18"/>
              </w:rPr>
            </w:pPr>
          </w:p>
        </w:tc>
      </w:tr>
      <w:tr>
        <w:trPr>
          <w:trHeight w:val="4725" w:hRule="atLeast"/>
        </w:trPr>
        <w:tc>
          <w:tcPr>
            <w:tcW w:w="660" w:type="dxa"/>
          </w:tcPr>
          <w:p>
            <w:pPr>
              <w:pStyle w:val="TableParagraph"/>
              <w:rPr>
                <w:rFonts w:ascii="Times New Roman"/>
                <w:sz w:val="18"/>
              </w:rPr>
            </w:pPr>
          </w:p>
        </w:tc>
        <w:tc>
          <w:tcPr>
            <w:tcW w:w="826" w:type="dxa"/>
          </w:tcPr>
          <w:p>
            <w:pPr>
              <w:pStyle w:val="TableParagraph"/>
              <w:rPr>
                <w:rFonts w:ascii="Times New Roman"/>
                <w:sz w:val="18"/>
              </w:rPr>
            </w:pPr>
          </w:p>
        </w:tc>
        <w:tc>
          <w:tcPr>
            <w:tcW w:w="6665" w:type="dxa"/>
          </w:tcPr>
          <w:p>
            <w:pPr>
              <w:pStyle w:val="TableParagraph"/>
              <w:spacing w:before="8"/>
              <w:rPr>
                <w:sz w:val="19"/>
              </w:rPr>
            </w:pPr>
          </w:p>
          <w:p>
            <w:pPr>
              <w:pStyle w:val="TableParagraph"/>
              <w:spacing w:line="276" w:lineRule="auto" w:before="1"/>
              <w:ind w:left="71" w:right="49"/>
              <w:rPr>
                <w:sz w:val="20"/>
              </w:rPr>
            </w:pPr>
            <w:r>
              <w:rPr>
                <w:b/>
                <w:sz w:val="20"/>
              </w:rPr>
              <w:t>Schnee- und Eismeldeanlage </w:t>
            </w:r>
            <w:r>
              <w:rPr>
                <w:sz w:val="20"/>
              </w:rPr>
              <w:t>für Dachrinnen- und Dachflächenheizung, für den Anschluss von 2 Sensoren (Feuchte / Temperatur) je nach Anlagenart. Mit potentialfreiem Alarmkontakt zur Anbindung an die GLT, mit LCD – Anzeige für Istwerte und Anlagenparameter, incl. Temperatur-</w:t>
            </w:r>
          </w:p>
          <w:p>
            <w:pPr>
              <w:pStyle w:val="TableParagraph"/>
              <w:spacing w:before="3"/>
              <w:ind w:left="71"/>
              <w:rPr>
                <w:sz w:val="20"/>
              </w:rPr>
            </w:pPr>
            <w:r>
              <w:rPr>
                <w:sz w:val="20"/>
              </w:rPr>
              <w:t>u. Feuchtefühler zur effektiven und effizienten Energieausnutzung.</w:t>
            </w:r>
          </w:p>
          <w:p>
            <w:pPr>
              <w:pStyle w:val="TableParagraph"/>
              <w:spacing w:before="10"/>
              <w:rPr>
                <w:sz w:val="25"/>
              </w:rPr>
            </w:pPr>
          </w:p>
          <w:p>
            <w:pPr>
              <w:pStyle w:val="TableParagraph"/>
              <w:tabs>
                <w:tab w:pos="2375" w:val="left" w:leader="none"/>
                <w:tab w:pos="2406" w:val="left" w:leader="none"/>
              </w:tabs>
              <w:spacing w:line="276" w:lineRule="auto"/>
              <w:ind w:left="71" w:right="2053"/>
              <w:rPr>
                <w:sz w:val="20"/>
              </w:rPr>
            </w:pPr>
            <w:r>
              <w:rPr>
                <w:sz w:val="20"/>
              </w:rPr>
              <w:t>Spannungsbereich:</w:t>
            </w:r>
            <w:r>
              <w:rPr>
                <w:rFonts w:ascii="Times New Roman" w:hAnsi="Times New Roman"/>
                <w:sz w:val="20"/>
              </w:rPr>
              <w:tab/>
              <w:tab/>
            </w:r>
            <w:r>
              <w:rPr>
                <w:sz w:val="20"/>
              </w:rPr>
              <w:t>AC 230V +/-10% Max.Nennstrom</w:t>
            </w:r>
            <w:r>
              <w:rPr>
                <w:rFonts w:ascii="Times New Roman" w:hAnsi="Times New Roman"/>
                <w:sz w:val="20"/>
              </w:rPr>
              <w:tab/>
            </w:r>
            <w:r>
              <w:rPr>
                <w:sz w:val="20"/>
              </w:rPr>
              <w:t>16 A AC 250V,</w:t>
            </w:r>
            <w:r>
              <w:rPr>
                <w:spacing w:val="-8"/>
                <w:sz w:val="20"/>
              </w:rPr>
              <w:t> </w:t>
            </w:r>
            <w:r>
              <w:rPr>
                <w:sz w:val="20"/>
              </w:rPr>
              <w:t>Schließer</w:t>
            </w:r>
          </w:p>
          <w:p>
            <w:pPr>
              <w:pStyle w:val="TableParagraph"/>
              <w:tabs>
                <w:tab w:pos="2392" w:val="left" w:leader="none"/>
              </w:tabs>
              <w:spacing w:line="278" w:lineRule="auto"/>
              <w:ind w:left="71" w:right="1113" w:hanging="1"/>
              <w:rPr>
                <w:sz w:val="20"/>
              </w:rPr>
            </w:pPr>
            <w:r>
              <w:rPr>
                <w:sz w:val="20"/>
              </w:rPr>
              <w:t>Alarmkontakt</w:t>
            </w:r>
            <w:r>
              <w:rPr>
                <w:rFonts w:ascii="Times New Roman" w:hAnsi="Times New Roman"/>
                <w:sz w:val="20"/>
              </w:rPr>
              <w:tab/>
            </w:r>
            <w:r>
              <w:rPr>
                <w:sz w:val="20"/>
              </w:rPr>
              <w:t>Wechsler 2A AC 250V,</w:t>
            </w:r>
            <w:r>
              <w:rPr>
                <w:spacing w:val="-17"/>
                <w:sz w:val="20"/>
              </w:rPr>
              <w:t> </w:t>
            </w:r>
            <w:r>
              <w:rPr>
                <w:sz w:val="20"/>
              </w:rPr>
              <w:t>potentialfrei Umgebungstemperatur:</w:t>
            </w:r>
            <w:r>
              <w:rPr>
                <w:rFonts w:ascii="Times New Roman" w:hAnsi="Times New Roman"/>
                <w:sz w:val="20"/>
              </w:rPr>
              <w:tab/>
            </w:r>
            <w:r>
              <w:rPr>
                <w:sz w:val="20"/>
              </w:rPr>
              <w:t>-20 -</w:t>
            </w:r>
            <w:r>
              <w:rPr>
                <w:spacing w:val="-2"/>
                <w:sz w:val="20"/>
              </w:rPr>
              <w:t> </w:t>
            </w:r>
            <w:r>
              <w:rPr>
                <w:sz w:val="20"/>
              </w:rPr>
              <w:t>50°C</w:t>
            </w:r>
          </w:p>
          <w:p>
            <w:pPr>
              <w:pStyle w:val="TableParagraph"/>
              <w:tabs>
                <w:tab w:pos="2358" w:val="left" w:leader="none"/>
              </w:tabs>
              <w:spacing w:line="227" w:lineRule="exact"/>
              <w:ind w:left="71"/>
              <w:rPr>
                <w:sz w:val="20"/>
              </w:rPr>
            </w:pPr>
            <w:r>
              <w:rPr>
                <w:sz w:val="20"/>
              </w:rPr>
              <w:t>Schutzart:</w:t>
            </w:r>
            <w:r>
              <w:rPr>
                <w:rFonts w:ascii="Times New Roman"/>
                <w:sz w:val="20"/>
              </w:rPr>
              <w:tab/>
            </w:r>
            <w:r>
              <w:rPr>
                <w:sz w:val="20"/>
              </w:rPr>
              <w:t>IP 20 ( EN 60</w:t>
            </w:r>
            <w:r>
              <w:rPr>
                <w:spacing w:val="2"/>
                <w:sz w:val="20"/>
              </w:rPr>
              <w:t> </w:t>
            </w:r>
            <w:r>
              <w:rPr>
                <w:sz w:val="20"/>
              </w:rPr>
              <w:t>529)</w:t>
            </w:r>
          </w:p>
          <w:p>
            <w:pPr>
              <w:pStyle w:val="TableParagraph"/>
              <w:tabs>
                <w:tab w:pos="2348" w:val="left" w:leader="none"/>
              </w:tabs>
              <w:spacing w:line="276" w:lineRule="auto" w:before="33"/>
              <w:ind w:left="71" w:right="991"/>
              <w:rPr>
                <w:sz w:val="20"/>
              </w:rPr>
            </w:pPr>
            <w:r>
              <w:rPr>
                <w:sz w:val="20"/>
              </w:rPr>
              <w:t>Montageart:</w:t>
            </w:r>
            <w:r>
              <w:rPr>
                <w:rFonts w:ascii="Times New Roman" w:hAnsi="Times New Roman"/>
                <w:sz w:val="20"/>
              </w:rPr>
              <w:tab/>
            </w:r>
            <w:r>
              <w:rPr>
                <w:sz w:val="20"/>
              </w:rPr>
              <w:t>Normschiene nach DIN EN 50022-35 Abmessungen:</w:t>
            </w:r>
            <w:r>
              <w:rPr>
                <w:rFonts w:ascii="Times New Roman" w:hAnsi="Times New Roman"/>
                <w:sz w:val="20"/>
              </w:rPr>
              <w:tab/>
            </w:r>
            <w:r>
              <w:rPr>
                <w:sz w:val="20"/>
              </w:rPr>
              <w:t>106 x 90 x 58mm (45er Ausschnitt) Gewicht</w:t>
            </w:r>
            <w:r>
              <w:rPr>
                <w:spacing w:val="-2"/>
                <w:sz w:val="20"/>
              </w:rPr>
              <w:t> </w:t>
            </w:r>
            <w:r>
              <w:rPr>
                <w:sz w:val="20"/>
              </w:rPr>
              <w:t>ohne</w:t>
            </w:r>
            <w:r>
              <w:rPr>
                <w:spacing w:val="-5"/>
                <w:sz w:val="20"/>
              </w:rPr>
              <w:t> </w:t>
            </w:r>
            <w:r>
              <w:rPr>
                <w:sz w:val="20"/>
              </w:rPr>
              <w:t>Fühler:</w:t>
            </w:r>
            <w:r>
              <w:rPr>
                <w:rFonts w:ascii="Times New Roman" w:hAnsi="Times New Roman"/>
                <w:sz w:val="20"/>
              </w:rPr>
              <w:tab/>
            </w:r>
            <w:r>
              <w:rPr>
                <w:sz w:val="20"/>
              </w:rPr>
              <w:t>480g</w:t>
            </w:r>
          </w:p>
          <w:p>
            <w:pPr>
              <w:pStyle w:val="TableParagraph"/>
              <w:rPr>
                <w:sz w:val="23"/>
              </w:rPr>
            </w:pPr>
          </w:p>
          <w:p>
            <w:pPr>
              <w:pStyle w:val="TableParagraph"/>
              <w:tabs>
                <w:tab w:pos="2406" w:val="left" w:leader="none"/>
              </w:tabs>
              <w:spacing w:before="1"/>
              <w:ind w:left="71"/>
              <w:rPr>
                <w:sz w:val="20"/>
              </w:rPr>
            </w:pPr>
            <w:r>
              <w:rPr>
                <w:sz w:val="20"/>
              </w:rPr>
              <w:t>Fabrikat</w:t>
            </w:r>
            <w:r>
              <w:rPr>
                <w:rFonts w:ascii="Times New Roman"/>
                <w:sz w:val="20"/>
              </w:rPr>
              <w:tab/>
            </w:r>
            <w:r>
              <w:rPr>
                <w:sz w:val="20"/>
              </w:rPr>
              <w:t>Quintex</w:t>
            </w:r>
          </w:p>
          <w:p>
            <w:pPr>
              <w:pStyle w:val="TableParagraph"/>
              <w:tabs>
                <w:tab w:pos="2375" w:val="left" w:leader="none"/>
                <w:tab w:pos="4669" w:val="left" w:leader="none"/>
              </w:tabs>
              <w:spacing w:before="34"/>
              <w:ind w:left="71"/>
              <w:rPr>
                <w:sz w:val="20"/>
              </w:rPr>
            </w:pPr>
            <w:r>
              <w:rPr>
                <w:sz w:val="20"/>
              </w:rPr>
              <w:t>Typ</w:t>
            </w:r>
            <w:r>
              <w:rPr>
                <w:rFonts w:ascii="Times New Roman"/>
                <w:sz w:val="20"/>
              </w:rPr>
              <w:tab/>
            </w:r>
            <w:r>
              <w:rPr>
                <w:sz w:val="20"/>
              </w:rPr>
              <w:t>CREM1</w:t>
            </w:r>
            <w:r>
              <w:rPr>
                <w:rFonts w:ascii="Times New Roman"/>
                <w:sz w:val="20"/>
              </w:rPr>
              <w:tab/>
            </w:r>
            <w:r>
              <w:rPr>
                <w:sz w:val="20"/>
              </w:rPr>
              <w:t>liefern und</w:t>
            </w:r>
            <w:r>
              <w:rPr>
                <w:spacing w:val="-4"/>
                <w:sz w:val="20"/>
              </w:rPr>
              <w:t> </w:t>
            </w:r>
            <w:r>
              <w:rPr>
                <w:sz w:val="20"/>
              </w:rPr>
              <w:t>montieren</w:t>
            </w:r>
          </w:p>
        </w:tc>
        <w:tc>
          <w:tcPr>
            <w:tcW w:w="850" w:type="dxa"/>
          </w:tcPr>
          <w:p>
            <w:pPr>
              <w:pStyle w:val="TableParagraph"/>
              <w:spacing w:before="11"/>
              <w:rPr>
                <w:sz w:val="19"/>
              </w:rPr>
            </w:pPr>
          </w:p>
          <w:p>
            <w:pPr>
              <w:pStyle w:val="TableParagraph"/>
              <w:ind w:right="104"/>
              <w:jc w:val="right"/>
              <w:rPr>
                <w:sz w:val="20"/>
              </w:rPr>
            </w:pPr>
            <w:r>
              <w:rPr>
                <w:sz w:val="20"/>
              </w:rPr>
              <w:t>804,70</w:t>
            </w:r>
          </w:p>
        </w:tc>
        <w:tc>
          <w:tcPr>
            <w:tcW w:w="828" w:type="dxa"/>
          </w:tcPr>
          <w:p>
            <w:pPr>
              <w:pStyle w:val="TableParagraph"/>
              <w:rPr>
                <w:rFonts w:ascii="Times New Roman"/>
                <w:sz w:val="18"/>
              </w:rPr>
            </w:pPr>
          </w:p>
        </w:tc>
      </w:tr>
    </w:tbl>
    <w:p>
      <w:pPr>
        <w:spacing w:after="0"/>
        <w:rPr>
          <w:rFonts w:ascii="Times New Roman"/>
          <w:sz w:val="18"/>
        </w:rPr>
        <w:sectPr>
          <w:pgSz w:w="11900" w:h="16840"/>
          <w:pgMar w:header="286" w:footer="890" w:top="1620" w:bottom="1080" w:left="700" w:right="580"/>
        </w:sectPr>
      </w:pPr>
    </w:p>
    <w:p>
      <w:pPr>
        <w:pStyle w:val="BodyText"/>
        <w:rPr>
          <w:sz w:val="20"/>
        </w:rPr>
      </w:pPr>
      <w:r>
        <w:rPr/>
        <w:pict>
          <v:group style="position:absolute;margin-left:0pt;margin-top:781.560303pt;width:592.6pt;height:14.55pt;mso-position-horizontal-relative:page;mso-position-vertical-relative:page;z-index:251665408" coordorigin="0,15631" coordsize="11852,291">
            <v:rect style="position:absolute;left:8560;top:15631;width:3291;height:291" filled="true" fillcolor="#f9e300" stroked="false">
              <v:fill type="solid"/>
            </v:rect>
            <v:rect style="position:absolute;left:0;top:15631;width:8561;height:291" filled="true" fillcolor="#0089c1" stroked="false">
              <v:fill type="solid"/>
            </v:rect>
            <w10:wrap type="none"/>
          </v:group>
        </w:pict>
      </w:r>
    </w:p>
    <w:p>
      <w:pPr>
        <w:pStyle w:val="BodyText"/>
        <w:rPr>
          <w:sz w:val="20"/>
        </w:rPr>
      </w:pPr>
    </w:p>
    <w:tbl>
      <w:tblPr>
        <w:tblW w:w="0" w:type="auto"/>
        <w:jc w:val="left"/>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826"/>
        <w:gridCol w:w="6776"/>
        <w:gridCol w:w="754"/>
        <w:gridCol w:w="836"/>
      </w:tblGrid>
      <w:tr>
        <w:trPr>
          <w:trHeight w:val="597" w:hRule="atLeast"/>
        </w:trPr>
        <w:tc>
          <w:tcPr>
            <w:tcW w:w="9852" w:type="dxa"/>
            <w:gridSpan w:val="5"/>
          </w:tcPr>
          <w:p>
            <w:pPr>
              <w:pStyle w:val="TableParagraph"/>
              <w:spacing w:before="7"/>
              <w:rPr>
                <w:sz w:val="23"/>
              </w:rPr>
            </w:pPr>
          </w:p>
          <w:p>
            <w:pPr>
              <w:pStyle w:val="TableParagraph"/>
              <w:spacing w:line="305" w:lineRule="exact" w:before="1"/>
              <w:ind w:left="69"/>
              <w:rPr>
                <w:b/>
                <w:sz w:val="28"/>
              </w:rPr>
            </w:pPr>
            <w:r>
              <w:rPr>
                <w:b/>
                <w:sz w:val="28"/>
              </w:rPr>
              <w:t>Leistungsverzeichnis Dachrinnenheizung</w:t>
            </w:r>
          </w:p>
        </w:tc>
      </w:tr>
      <w:tr>
        <w:trPr>
          <w:trHeight w:val="419" w:hRule="atLeast"/>
        </w:trPr>
        <w:tc>
          <w:tcPr>
            <w:tcW w:w="660" w:type="dxa"/>
          </w:tcPr>
          <w:p>
            <w:pPr>
              <w:pStyle w:val="TableParagraph"/>
              <w:spacing w:line="227" w:lineRule="exact"/>
              <w:ind w:left="69"/>
              <w:rPr>
                <w:b/>
                <w:sz w:val="20"/>
              </w:rPr>
            </w:pPr>
            <w:r>
              <w:rPr>
                <w:b/>
                <w:sz w:val="20"/>
              </w:rPr>
              <w:t>Pos.</w:t>
            </w:r>
          </w:p>
        </w:tc>
        <w:tc>
          <w:tcPr>
            <w:tcW w:w="826" w:type="dxa"/>
          </w:tcPr>
          <w:p>
            <w:pPr>
              <w:pStyle w:val="TableParagraph"/>
              <w:spacing w:line="227" w:lineRule="exact"/>
              <w:ind w:left="69"/>
              <w:rPr>
                <w:b/>
                <w:sz w:val="20"/>
              </w:rPr>
            </w:pPr>
            <w:r>
              <w:rPr>
                <w:b/>
                <w:sz w:val="20"/>
              </w:rPr>
              <w:t>Menge</w:t>
            </w:r>
          </w:p>
        </w:tc>
        <w:tc>
          <w:tcPr>
            <w:tcW w:w="6776" w:type="dxa"/>
          </w:tcPr>
          <w:p>
            <w:pPr>
              <w:pStyle w:val="TableParagraph"/>
              <w:spacing w:line="227" w:lineRule="exact"/>
              <w:ind w:left="71"/>
              <w:rPr>
                <w:b/>
                <w:sz w:val="20"/>
              </w:rPr>
            </w:pPr>
            <w:r>
              <w:rPr>
                <w:b/>
                <w:sz w:val="20"/>
              </w:rPr>
              <w:t>Beschreibung</w:t>
            </w:r>
          </w:p>
        </w:tc>
        <w:tc>
          <w:tcPr>
            <w:tcW w:w="754" w:type="dxa"/>
          </w:tcPr>
          <w:p>
            <w:pPr>
              <w:pStyle w:val="TableParagraph"/>
              <w:spacing w:line="227" w:lineRule="exact"/>
              <w:ind w:left="70"/>
              <w:rPr>
                <w:b/>
                <w:sz w:val="20"/>
              </w:rPr>
            </w:pPr>
            <w:r>
              <w:rPr>
                <w:b/>
                <w:sz w:val="20"/>
              </w:rPr>
              <w:t>EP</w:t>
            </w:r>
          </w:p>
        </w:tc>
        <w:tc>
          <w:tcPr>
            <w:tcW w:w="836" w:type="dxa"/>
          </w:tcPr>
          <w:p>
            <w:pPr>
              <w:pStyle w:val="TableParagraph"/>
              <w:spacing w:line="227" w:lineRule="exact"/>
              <w:ind w:left="67"/>
              <w:rPr>
                <w:b/>
                <w:sz w:val="20"/>
              </w:rPr>
            </w:pPr>
            <w:r>
              <w:rPr>
                <w:b/>
                <w:sz w:val="20"/>
              </w:rPr>
              <w:t>GP</w:t>
            </w:r>
          </w:p>
        </w:tc>
      </w:tr>
      <w:tr>
        <w:trPr>
          <w:trHeight w:val="5025" w:hRule="atLeast"/>
        </w:trPr>
        <w:tc>
          <w:tcPr>
            <w:tcW w:w="660" w:type="dxa"/>
          </w:tcPr>
          <w:p>
            <w:pPr>
              <w:pStyle w:val="TableParagraph"/>
              <w:rPr>
                <w:rFonts w:ascii="Times New Roman"/>
                <w:sz w:val="20"/>
              </w:rPr>
            </w:pPr>
          </w:p>
        </w:tc>
        <w:tc>
          <w:tcPr>
            <w:tcW w:w="826" w:type="dxa"/>
          </w:tcPr>
          <w:p>
            <w:pPr>
              <w:pStyle w:val="TableParagraph"/>
              <w:rPr>
                <w:rFonts w:ascii="Times New Roman"/>
                <w:sz w:val="20"/>
              </w:rPr>
            </w:pPr>
          </w:p>
        </w:tc>
        <w:tc>
          <w:tcPr>
            <w:tcW w:w="6776" w:type="dxa"/>
          </w:tcPr>
          <w:p>
            <w:pPr>
              <w:pStyle w:val="TableParagraph"/>
              <w:spacing w:before="8"/>
              <w:rPr>
                <w:sz w:val="22"/>
              </w:rPr>
            </w:pPr>
          </w:p>
          <w:p>
            <w:pPr>
              <w:pStyle w:val="TableParagraph"/>
              <w:spacing w:line="278" w:lineRule="auto"/>
              <w:ind w:left="71" w:right="1016"/>
              <w:rPr>
                <w:sz w:val="20"/>
              </w:rPr>
            </w:pPr>
            <w:r>
              <w:rPr>
                <w:b/>
                <w:sz w:val="20"/>
              </w:rPr>
              <w:t>Dachrinnenfrostwächter </w:t>
            </w:r>
            <w:r>
              <w:rPr>
                <w:sz w:val="20"/>
              </w:rPr>
              <w:t>für kleinere Dachrinnenheizungen als Umgebungsthermostat im robusten, wetterfesten Gehäuse</w:t>
            </w:r>
          </w:p>
          <w:p>
            <w:pPr>
              <w:pStyle w:val="TableParagraph"/>
              <w:spacing w:before="10"/>
              <w:rPr>
                <w:sz w:val="22"/>
              </w:rPr>
            </w:pPr>
          </w:p>
          <w:p>
            <w:pPr>
              <w:pStyle w:val="TableParagraph"/>
              <w:tabs>
                <w:tab w:pos="2370" w:val="left" w:leader="none"/>
                <w:tab w:pos="2406" w:val="left" w:leader="none"/>
              </w:tabs>
              <w:spacing w:line="276" w:lineRule="auto"/>
              <w:ind w:left="71" w:right="3557"/>
              <w:rPr>
                <w:sz w:val="20"/>
              </w:rPr>
            </w:pPr>
            <w:r>
              <w:rPr>
                <w:sz w:val="20"/>
              </w:rPr>
              <w:t>Spannungsbereich:</w:t>
            </w:r>
            <w:r>
              <w:rPr>
                <w:rFonts w:ascii="Times New Roman"/>
                <w:sz w:val="20"/>
              </w:rPr>
              <w:tab/>
              <w:tab/>
            </w:r>
            <w:r>
              <w:rPr>
                <w:sz w:val="20"/>
              </w:rPr>
              <w:t>AC </w:t>
            </w:r>
            <w:r>
              <w:rPr>
                <w:spacing w:val="-4"/>
                <w:sz w:val="20"/>
              </w:rPr>
              <w:t>250V </w:t>
            </w:r>
            <w:r>
              <w:rPr>
                <w:sz w:val="20"/>
              </w:rPr>
              <w:t>Max.</w:t>
            </w:r>
            <w:r>
              <w:rPr>
                <w:spacing w:val="-3"/>
                <w:sz w:val="20"/>
              </w:rPr>
              <w:t> </w:t>
            </w:r>
            <w:r>
              <w:rPr>
                <w:sz w:val="20"/>
              </w:rPr>
              <w:t>Nennstrom:</w:t>
            </w:r>
            <w:r>
              <w:rPr>
                <w:rFonts w:ascii="Times New Roman"/>
                <w:sz w:val="20"/>
              </w:rPr>
              <w:tab/>
            </w:r>
            <w:r>
              <w:rPr>
                <w:sz w:val="20"/>
              </w:rPr>
              <w:t>16</w:t>
            </w:r>
            <w:r>
              <w:rPr>
                <w:spacing w:val="-1"/>
                <w:sz w:val="20"/>
              </w:rPr>
              <w:t> </w:t>
            </w:r>
            <w:r>
              <w:rPr>
                <w:sz w:val="20"/>
              </w:rPr>
              <w:t>A</w:t>
            </w:r>
          </w:p>
          <w:p>
            <w:pPr>
              <w:pStyle w:val="TableParagraph"/>
              <w:tabs>
                <w:tab w:pos="2370" w:val="left" w:leader="none"/>
              </w:tabs>
              <w:spacing w:line="229" w:lineRule="exact"/>
              <w:ind w:left="71"/>
              <w:rPr>
                <w:sz w:val="20"/>
              </w:rPr>
            </w:pPr>
            <w:r>
              <w:rPr>
                <w:sz w:val="20"/>
              </w:rPr>
              <w:t>Schaltleistung:</w:t>
            </w:r>
            <w:r>
              <w:rPr>
                <w:rFonts w:ascii="Times New Roman"/>
                <w:sz w:val="20"/>
              </w:rPr>
              <w:tab/>
            </w:r>
            <w:r>
              <w:rPr>
                <w:sz w:val="20"/>
              </w:rPr>
              <w:t>3,6</w:t>
            </w:r>
            <w:r>
              <w:rPr>
                <w:spacing w:val="-2"/>
                <w:sz w:val="20"/>
              </w:rPr>
              <w:t> </w:t>
            </w:r>
            <w:r>
              <w:rPr>
                <w:sz w:val="20"/>
              </w:rPr>
              <w:t>KW</w:t>
            </w:r>
          </w:p>
          <w:p>
            <w:pPr>
              <w:pStyle w:val="TableParagraph"/>
              <w:tabs>
                <w:tab w:pos="2370" w:val="left" w:leader="none"/>
              </w:tabs>
              <w:spacing w:before="34"/>
              <w:ind w:left="71"/>
              <w:rPr>
                <w:sz w:val="20"/>
              </w:rPr>
            </w:pPr>
            <w:r>
              <w:rPr>
                <w:sz w:val="20"/>
              </w:rPr>
              <w:t>Einstellbereich:</w:t>
            </w:r>
            <w:r>
              <w:rPr>
                <w:rFonts w:ascii="Times New Roman" w:hAnsi="Times New Roman"/>
                <w:sz w:val="20"/>
              </w:rPr>
              <w:tab/>
            </w:r>
            <w:r>
              <w:rPr>
                <w:sz w:val="20"/>
              </w:rPr>
              <w:t>-20°C bis</w:t>
            </w:r>
            <w:r>
              <w:rPr>
                <w:spacing w:val="3"/>
                <w:sz w:val="20"/>
              </w:rPr>
              <w:t> </w:t>
            </w:r>
            <w:r>
              <w:rPr>
                <w:sz w:val="20"/>
              </w:rPr>
              <w:t>+30°C</w:t>
            </w:r>
          </w:p>
          <w:p>
            <w:pPr>
              <w:pStyle w:val="TableParagraph"/>
              <w:tabs>
                <w:tab w:pos="2358" w:val="left" w:leader="none"/>
              </w:tabs>
              <w:spacing w:line="278" w:lineRule="auto" w:before="34"/>
              <w:ind w:left="71" w:right="2445"/>
              <w:rPr>
                <w:sz w:val="20"/>
              </w:rPr>
            </w:pPr>
            <w:r>
              <w:rPr>
                <w:sz w:val="20"/>
              </w:rPr>
              <w:t>Kontakte:</w:t>
            </w:r>
            <w:r>
              <w:rPr>
                <w:rFonts w:ascii="Times New Roman" w:hAnsi="Times New Roman"/>
                <w:sz w:val="20"/>
              </w:rPr>
              <w:tab/>
            </w:r>
            <w:r>
              <w:rPr>
                <w:sz w:val="20"/>
              </w:rPr>
              <w:t>1 Öffner + 1</w:t>
            </w:r>
            <w:r>
              <w:rPr>
                <w:spacing w:val="-10"/>
                <w:sz w:val="20"/>
              </w:rPr>
              <w:t> </w:t>
            </w:r>
            <w:r>
              <w:rPr>
                <w:sz w:val="20"/>
              </w:rPr>
              <w:t>Schließer Schalttemperatur-</w:t>
            </w:r>
          </w:p>
          <w:p>
            <w:pPr>
              <w:pStyle w:val="TableParagraph"/>
              <w:tabs>
                <w:tab w:pos="2392" w:val="left" w:leader="none"/>
              </w:tabs>
              <w:spacing w:line="227" w:lineRule="exact"/>
              <w:ind w:left="71"/>
              <w:rPr>
                <w:sz w:val="20"/>
              </w:rPr>
            </w:pPr>
            <w:r>
              <w:rPr>
                <w:sz w:val="20"/>
              </w:rPr>
              <w:t>differenz:</w:t>
            </w:r>
            <w:r>
              <w:rPr>
                <w:rFonts w:ascii="Times New Roman"/>
                <w:sz w:val="20"/>
              </w:rPr>
              <w:tab/>
            </w:r>
            <w:r>
              <w:rPr>
                <w:sz w:val="20"/>
              </w:rPr>
              <w:t>1-3</w:t>
            </w:r>
            <w:r>
              <w:rPr>
                <w:spacing w:val="-2"/>
                <w:sz w:val="20"/>
              </w:rPr>
              <w:t> </w:t>
            </w:r>
            <w:r>
              <w:rPr>
                <w:sz w:val="20"/>
              </w:rPr>
              <w:t>K</w:t>
            </w:r>
          </w:p>
          <w:p>
            <w:pPr>
              <w:pStyle w:val="TableParagraph"/>
              <w:tabs>
                <w:tab w:pos="2358" w:val="left" w:leader="none"/>
              </w:tabs>
              <w:spacing w:before="34"/>
              <w:ind w:left="71"/>
              <w:rPr>
                <w:sz w:val="20"/>
              </w:rPr>
            </w:pPr>
            <w:r>
              <w:rPr>
                <w:sz w:val="20"/>
              </w:rPr>
              <w:t>Schutzart:</w:t>
            </w:r>
            <w:r>
              <w:rPr>
                <w:rFonts w:ascii="Times New Roman"/>
                <w:sz w:val="20"/>
              </w:rPr>
              <w:tab/>
            </w:r>
            <w:r>
              <w:rPr>
                <w:sz w:val="20"/>
              </w:rPr>
              <w:t>IP65</w:t>
            </w:r>
          </w:p>
          <w:p>
            <w:pPr>
              <w:pStyle w:val="TableParagraph"/>
              <w:tabs>
                <w:tab w:pos="2360" w:val="left" w:leader="none"/>
              </w:tabs>
              <w:spacing w:before="34"/>
              <w:ind w:left="71"/>
              <w:rPr>
                <w:sz w:val="20"/>
              </w:rPr>
            </w:pPr>
            <w:r>
              <w:rPr>
                <w:sz w:val="20"/>
              </w:rPr>
              <w:t>Montageart:</w:t>
            </w:r>
            <w:r>
              <w:rPr>
                <w:rFonts w:ascii="Times New Roman"/>
                <w:sz w:val="20"/>
              </w:rPr>
              <w:tab/>
            </w:r>
            <w:r>
              <w:rPr>
                <w:sz w:val="20"/>
              </w:rPr>
              <w:t>Wandmontage</w:t>
            </w:r>
          </w:p>
          <w:p>
            <w:pPr>
              <w:pStyle w:val="TableParagraph"/>
              <w:tabs>
                <w:tab w:pos="2382" w:val="left" w:leader="none"/>
              </w:tabs>
              <w:spacing w:before="34"/>
              <w:ind w:left="71"/>
              <w:rPr>
                <w:sz w:val="20"/>
              </w:rPr>
            </w:pPr>
            <w:r>
              <w:rPr>
                <w:sz w:val="20"/>
              </w:rPr>
              <w:t>Einstellung:</w:t>
            </w:r>
            <w:r>
              <w:rPr>
                <w:rFonts w:ascii="Times New Roman" w:hAnsi="Times New Roman"/>
                <w:sz w:val="20"/>
              </w:rPr>
              <w:tab/>
            </w:r>
            <w:r>
              <w:rPr>
                <w:sz w:val="20"/>
              </w:rPr>
              <w:t>unter Gehäusedeckel</w:t>
            </w:r>
          </w:p>
          <w:p>
            <w:pPr>
              <w:pStyle w:val="TableParagraph"/>
              <w:spacing w:before="1"/>
              <w:rPr>
                <w:sz w:val="26"/>
              </w:rPr>
            </w:pPr>
          </w:p>
          <w:p>
            <w:pPr>
              <w:pStyle w:val="TableParagraph"/>
              <w:tabs>
                <w:tab w:pos="2406" w:val="left" w:leader="none"/>
              </w:tabs>
              <w:spacing w:before="1"/>
              <w:ind w:left="71"/>
              <w:rPr>
                <w:sz w:val="20"/>
              </w:rPr>
            </w:pPr>
            <w:r>
              <w:rPr>
                <w:sz w:val="20"/>
              </w:rPr>
              <w:t>Fabrikat</w:t>
            </w:r>
            <w:r>
              <w:rPr>
                <w:rFonts w:ascii="Times New Roman"/>
                <w:sz w:val="20"/>
              </w:rPr>
              <w:tab/>
            </w:r>
            <w:r>
              <w:rPr>
                <w:sz w:val="20"/>
              </w:rPr>
              <w:t>Quintex</w:t>
            </w:r>
          </w:p>
          <w:p>
            <w:pPr>
              <w:pStyle w:val="TableParagraph"/>
              <w:tabs>
                <w:tab w:pos="2375" w:val="left" w:leader="none"/>
                <w:tab w:pos="4792" w:val="left" w:leader="none"/>
              </w:tabs>
              <w:spacing w:before="34"/>
              <w:ind w:left="71"/>
              <w:rPr>
                <w:sz w:val="20"/>
              </w:rPr>
            </w:pPr>
            <w:r>
              <w:rPr>
                <w:sz w:val="20"/>
              </w:rPr>
              <w:t>Typ</w:t>
            </w:r>
            <w:r>
              <w:rPr>
                <w:rFonts w:ascii="Times New Roman"/>
                <w:sz w:val="20"/>
              </w:rPr>
              <w:tab/>
            </w:r>
            <w:r>
              <w:rPr>
                <w:sz w:val="20"/>
              </w:rPr>
              <w:t>CRM-20/+30</w:t>
            </w:r>
            <w:r>
              <w:rPr>
                <w:rFonts w:ascii="Times New Roman"/>
                <w:sz w:val="20"/>
              </w:rPr>
              <w:tab/>
            </w:r>
            <w:r>
              <w:rPr>
                <w:sz w:val="20"/>
              </w:rPr>
              <w:t>liefern und</w:t>
            </w:r>
            <w:r>
              <w:rPr>
                <w:spacing w:val="-8"/>
                <w:sz w:val="20"/>
              </w:rPr>
              <w:t> </w:t>
            </w:r>
            <w:r>
              <w:rPr>
                <w:sz w:val="20"/>
              </w:rPr>
              <w:t>montieren</w:t>
            </w:r>
          </w:p>
        </w:tc>
        <w:tc>
          <w:tcPr>
            <w:tcW w:w="754" w:type="dxa"/>
          </w:tcPr>
          <w:p>
            <w:pPr>
              <w:pStyle w:val="TableParagraph"/>
              <w:spacing w:before="8"/>
              <w:rPr>
                <w:sz w:val="19"/>
              </w:rPr>
            </w:pPr>
          </w:p>
          <w:p>
            <w:pPr>
              <w:pStyle w:val="TableParagraph"/>
              <w:spacing w:before="1"/>
              <w:ind w:left="70"/>
              <w:rPr>
                <w:sz w:val="20"/>
              </w:rPr>
            </w:pPr>
            <w:r>
              <w:rPr>
                <w:sz w:val="20"/>
              </w:rPr>
              <w:t>144,50</w:t>
            </w:r>
          </w:p>
        </w:tc>
        <w:tc>
          <w:tcPr>
            <w:tcW w:w="836" w:type="dxa"/>
          </w:tcPr>
          <w:p>
            <w:pPr>
              <w:pStyle w:val="TableParagraph"/>
              <w:rPr>
                <w:rFonts w:ascii="Times New Roman"/>
                <w:sz w:val="20"/>
              </w:rPr>
            </w:pPr>
          </w:p>
        </w:tc>
      </w:tr>
      <w:tr>
        <w:trPr>
          <w:trHeight w:val="3436" w:hRule="atLeast"/>
        </w:trPr>
        <w:tc>
          <w:tcPr>
            <w:tcW w:w="660" w:type="dxa"/>
          </w:tcPr>
          <w:p>
            <w:pPr>
              <w:pStyle w:val="TableParagraph"/>
              <w:rPr>
                <w:rFonts w:ascii="Times New Roman"/>
                <w:sz w:val="20"/>
              </w:rPr>
            </w:pPr>
          </w:p>
        </w:tc>
        <w:tc>
          <w:tcPr>
            <w:tcW w:w="826" w:type="dxa"/>
          </w:tcPr>
          <w:p>
            <w:pPr>
              <w:pStyle w:val="TableParagraph"/>
              <w:rPr>
                <w:rFonts w:ascii="Times New Roman"/>
                <w:sz w:val="20"/>
              </w:rPr>
            </w:pPr>
          </w:p>
        </w:tc>
        <w:tc>
          <w:tcPr>
            <w:tcW w:w="6776" w:type="dxa"/>
          </w:tcPr>
          <w:p>
            <w:pPr>
              <w:pStyle w:val="TableParagraph"/>
              <w:spacing w:before="8"/>
              <w:rPr>
                <w:sz w:val="22"/>
              </w:rPr>
            </w:pPr>
          </w:p>
          <w:p>
            <w:pPr>
              <w:pStyle w:val="TableParagraph"/>
              <w:spacing w:line="276" w:lineRule="auto"/>
              <w:ind w:left="71" w:right="126"/>
              <w:rPr>
                <w:sz w:val="20"/>
              </w:rPr>
            </w:pPr>
            <w:r>
              <w:rPr>
                <w:b/>
                <w:sz w:val="20"/>
              </w:rPr>
              <w:t>Abstandshalter / Kantenschutz </w:t>
            </w:r>
            <w:r>
              <w:rPr>
                <w:sz w:val="20"/>
              </w:rPr>
              <w:t>zur Fixierung des Heizbandes in Dachrinnen und auf Dachflächen oder als Schutz vor Beschädigungen bei scharfen Übergängen, für halbrunde Rinnen und Kastenrinnen bis ca.</w:t>
            </w:r>
          </w:p>
          <w:p>
            <w:pPr>
              <w:pStyle w:val="TableParagraph"/>
              <w:spacing w:before="3"/>
              <w:ind w:left="71"/>
              <w:rPr>
                <w:sz w:val="20"/>
              </w:rPr>
            </w:pPr>
            <w:r>
              <w:rPr>
                <w:sz w:val="20"/>
              </w:rPr>
              <w:t>30cm Breite</w:t>
            </w:r>
          </w:p>
          <w:p>
            <w:pPr>
              <w:pStyle w:val="TableParagraph"/>
              <w:spacing w:before="10"/>
              <w:rPr>
                <w:sz w:val="25"/>
              </w:rPr>
            </w:pPr>
          </w:p>
          <w:p>
            <w:pPr>
              <w:pStyle w:val="TableParagraph"/>
              <w:tabs>
                <w:tab w:pos="2226" w:val="left" w:leader="none"/>
              </w:tabs>
              <w:spacing w:before="1"/>
              <w:ind w:left="71"/>
              <w:rPr>
                <w:sz w:val="20"/>
              </w:rPr>
            </w:pPr>
            <w:r>
              <w:rPr>
                <w:sz w:val="20"/>
              </w:rPr>
              <w:t>Material</w:t>
            </w:r>
            <w:r>
              <w:rPr>
                <w:rFonts w:ascii="Times New Roman"/>
                <w:sz w:val="20"/>
              </w:rPr>
              <w:tab/>
            </w:r>
            <w:r>
              <w:rPr>
                <w:sz w:val="20"/>
              </w:rPr>
              <w:t>Edelstahl</w:t>
            </w:r>
          </w:p>
          <w:p>
            <w:pPr>
              <w:pStyle w:val="TableParagraph"/>
              <w:tabs>
                <w:tab w:pos="2238" w:val="left" w:leader="none"/>
              </w:tabs>
              <w:spacing w:before="34"/>
              <w:ind w:left="71"/>
              <w:rPr>
                <w:sz w:val="20"/>
              </w:rPr>
            </w:pPr>
            <w:r>
              <w:rPr>
                <w:sz w:val="20"/>
              </w:rPr>
              <w:t>Abmessung</w:t>
            </w:r>
            <w:r>
              <w:rPr>
                <w:rFonts w:ascii="Times New Roman"/>
                <w:sz w:val="20"/>
              </w:rPr>
              <w:tab/>
            </w:r>
            <w:r>
              <w:rPr>
                <w:sz w:val="20"/>
              </w:rPr>
              <w:t>260 x 25 x</w:t>
            </w:r>
            <w:r>
              <w:rPr>
                <w:spacing w:val="-3"/>
                <w:sz w:val="20"/>
              </w:rPr>
              <w:t> </w:t>
            </w:r>
            <w:r>
              <w:rPr>
                <w:sz w:val="20"/>
              </w:rPr>
              <w:t>2,0mm</w:t>
            </w:r>
          </w:p>
          <w:p>
            <w:pPr>
              <w:pStyle w:val="TableParagraph"/>
              <w:spacing w:before="10"/>
              <w:rPr>
                <w:sz w:val="25"/>
              </w:rPr>
            </w:pPr>
          </w:p>
          <w:p>
            <w:pPr>
              <w:pStyle w:val="TableParagraph"/>
              <w:tabs>
                <w:tab w:pos="2236" w:val="left" w:leader="none"/>
              </w:tabs>
              <w:ind w:left="71"/>
              <w:rPr>
                <w:sz w:val="20"/>
              </w:rPr>
            </w:pPr>
            <w:r>
              <w:rPr>
                <w:sz w:val="20"/>
              </w:rPr>
              <w:t>Fabrikat:</w:t>
            </w:r>
            <w:r>
              <w:rPr>
                <w:rFonts w:ascii="Times New Roman"/>
                <w:sz w:val="20"/>
              </w:rPr>
              <w:tab/>
            </w:r>
            <w:r>
              <w:rPr>
                <w:sz w:val="20"/>
              </w:rPr>
              <w:t>Quintex</w:t>
            </w:r>
          </w:p>
          <w:p>
            <w:pPr>
              <w:pStyle w:val="TableParagraph"/>
              <w:tabs>
                <w:tab w:pos="2238" w:val="left" w:leader="none"/>
                <w:tab w:pos="4727" w:val="left" w:leader="none"/>
              </w:tabs>
              <w:spacing w:before="37"/>
              <w:ind w:left="71"/>
              <w:rPr>
                <w:sz w:val="20"/>
              </w:rPr>
            </w:pPr>
            <w:r>
              <w:rPr>
                <w:sz w:val="20"/>
              </w:rPr>
              <w:t>Typ:</w:t>
            </w:r>
            <w:r>
              <w:rPr>
                <w:rFonts w:ascii="Times New Roman"/>
                <w:sz w:val="20"/>
              </w:rPr>
              <w:tab/>
            </w:r>
            <w:r>
              <w:rPr>
                <w:sz w:val="20"/>
              </w:rPr>
              <w:t>AB-CLD-K</w:t>
            </w:r>
            <w:r>
              <w:rPr>
                <w:rFonts w:ascii="Times New Roman"/>
                <w:sz w:val="20"/>
              </w:rPr>
              <w:tab/>
            </w:r>
            <w:r>
              <w:rPr>
                <w:sz w:val="20"/>
              </w:rPr>
              <w:t>liefern und</w:t>
            </w:r>
            <w:r>
              <w:rPr>
                <w:spacing w:val="-7"/>
                <w:sz w:val="20"/>
              </w:rPr>
              <w:t> </w:t>
            </w:r>
            <w:r>
              <w:rPr>
                <w:sz w:val="20"/>
              </w:rPr>
              <w:t>montieren</w:t>
            </w:r>
          </w:p>
        </w:tc>
        <w:tc>
          <w:tcPr>
            <w:tcW w:w="754" w:type="dxa"/>
          </w:tcPr>
          <w:p>
            <w:pPr>
              <w:pStyle w:val="TableParagraph"/>
              <w:spacing w:before="8"/>
              <w:rPr>
                <w:sz w:val="19"/>
              </w:rPr>
            </w:pPr>
          </w:p>
          <w:p>
            <w:pPr>
              <w:pStyle w:val="TableParagraph"/>
              <w:spacing w:before="1"/>
              <w:ind w:right="61"/>
              <w:jc w:val="right"/>
              <w:rPr>
                <w:sz w:val="20"/>
              </w:rPr>
            </w:pPr>
            <w:r>
              <w:rPr>
                <w:w w:val="95"/>
                <w:sz w:val="20"/>
              </w:rPr>
              <w:t>4,90</w:t>
            </w:r>
          </w:p>
        </w:tc>
        <w:tc>
          <w:tcPr>
            <w:tcW w:w="836" w:type="dxa"/>
          </w:tcPr>
          <w:p>
            <w:pPr>
              <w:pStyle w:val="TableParagraph"/>
              <w:rPr>
                <w:rFonts w:ascii="Times New Roman"/>
                <w:sz w:val="20"/>
              </w:rPr>
            </w:pPr>
          </w:p>
        </w:tc>
      </w:tr>
      <w:tr>
        <w:trPr>
          <w:trHeight w:val="3174" w:hRule="atLeast"/>
        </w:trPr>
        <w:tc>
          <w:tcPr>
            <w:tcW w:w="660" w:type="dxa"/>
          </w:tcPr>
          <w:p>
            <w:pPr>
              <w:pStyle w:val="TableParagraph"/>
              <w:rPr>
                <w:rFonts w:ascii="Times New Roman"/>
                <w:sz w:val="20"/>
              </w:rPr>
            </w:pPr>
          </w:p>
        </w:tc>
        <w:tc>
          <w:tcPr>
            <w:tcW w:w="826" w:type="dxa"/>
          </w:tcPr>
          <w:p>
            <w:pPr>
              <w:pStyle w:val="TableParagraph"/>
              <w:rPr>
                <w:rFonts w:ascii="Times New Roman"/>
                <w:sz w:val="20"/>
              </w:rPr>
            </w:pPr>
          </w:p>
        </w:tc>
        <w:tc>
          <w:tcPr>
            <w:tcW w:w="6776" w:type="dxa"/>
          </w:tcPr>
          <w:p>
            <w:pPr>
              <w:pStyle w:val="TableParagraph"/>
              <w:spacing w:before="10"/>
              <w:rPr>
                <w:sz w:val="22"/>
              </w:rPr>
            </w:pPr>
          </w:p>
          <w:p>
            <w:pPr>
              <w:pStyle w:val="TableParagraph"/>
              <w:spacing w:line="276" w:lineRule="auto"/>
              <w:ind w:left="71" w:right="192"/>
              <w:rPr>
                <w:sz w:val="20"/>
              </w:rPr>
            </w:pPr>
            <w:r>
              <w:rPr>
                <w:b/>
                <w:sz w:val="20"/>
              </w:rPr>
              <w:t>Abstandshalter / Kantenschutz </w:t>
            </w:r>
            <w:r>
              <w:rPr>
                <w:sz w:val="20"/>
              </w:rPr>
              <w:t>zur Fixierung des Heizbandes in Dachrinnen und auf Dachflächen und als Schutz vor Beschädigungen bei scharfen Übergängen, für breite Kastenrinnen</w:t>
            </w:r>
          </w:p>
          <w:p>
            <w:pPr>
              <w:pStyle w:val="TableParagraph"/>
              <w:rPr>
                <w:sz w:val="23"/>
              </w:rPr>
            </w:pPr>
          </w:p>
          <w:p>
            <w:pPr>
              <w:pStyle w:val="TableParagraph"/>
              <w:tabs>
                <w:tab w:pos="2226" w:val="left" w:leader="none"/>
              </w:tabs>
              <w:spacing w:before="1"/>
              <w:ind w:left="71"/>
              <w:rPr>
                <w:sz w:val="20"/>
              </w:rPr>
            </w:pPr>
            <w:r>
              <w:rPr>
                <w:sz w:val="20"/>
              </w:rPr>
              <w:t>Material</w:t>
            </w:r>
            <w:r>
              <w:rPr>
                <w:rFonts w:ascii="Times New Roman"/>
                <w:sz w:val="20"/>
              </w:rPr>
              <w:tab/>
            </w:r>
            <w:r>
              <w:rPr>
                <w:sz w:val="20"/>
              </w:rPr>
              <w:t>Edelstahl</w:t>
            </w:r>
          </w:p>
          <w:p>
            <w:pPr>
              <w:pStyle w:val="TableParagraph"/>
              <w:tabs>
                <w:tab w:pos="2238" w:val="left" w:leader="none"/>
              </w:tabs>
              <w:spacing w:before="36"/>
              <w:ind w:left="71"/>
              <w:rPr>
                <w:sz w:val="20"/>
              </w:rPr>
            </w:pPr>
            <w:r>
              <w:rPr>
                <w:sz w:val="20"/>
              </w:rPr>
              <w:t>Abmessung</w:t>
            </w:r>
            <w:r>
              <w:rPr>
                <w:rFonts w:ascii="Times New Roman"/>
                <w:sz w:val="20"/>
              </w:rPr>
              <w:tab/>
            </w:r>
            <w:r>
              <w:rPr>
                <w:sz w:val="20"/>
              </w:rPr>
              <w:t>1000 x 25 x 2,0mm</w:t>
            </w:r>
          </w:p>
          <w:p>
            <w:pPr>
              <w:pStyle w:val="TableParagraph"/>
              <w:spacing w:before="10"/>
              <w:rPr>
                <w:sz w:val="25"/>
              </w:rPr>
            </w:pPr>
          </w:p>
          <w:p>
            <w:pPr>
              <w:pStyle w:val="TableParagraph"/>
              <w:tabs>
                <w:tab w:pos="2236" w:val="left" w:leader="none"/>
              </w:tabs>
              <w:spacing w:before="1"/>
              <w:ind w:left="71"/>
              <w:rPr>
                <w:sz w:val="20"/>
              </w:rPr>
            </w:pPr>
            <w:r>
              <w:rPr>
                <w:sz w:val="20"/>
              </w:rPr>
              <w:t>Fabrikat:</w:t>
            </w:r>
            <w:r>
              <w:rPr>
                <w:rFonts w:ascii="Times New Roman"/>
                <w:sz w:val="20"/>
              </w:rPr>
              <w:tab/>
            </w:r>
            <w:r>
              <w:rPr>
                <w:sz w:val="20"/>
              </w:rPr>
              <w:t>Quintex</w:t>
            </w:r>
          </w:p>
          <w:p>
            <w:pPr>
              <w:pStyle w:val="TableParagraph"/>
              <w:tabs>
                <w:tab w:pos="2238" w:val="left" w:leader="none"/>
                <w:tab w:pos="4816" w:val="left" w:leader="none"/>
              </w:tabs>
              <w:spacing w:before="34"/>
              <w:ind w:left="71"/>
              <w:rPr>
                <w:sz w:val="20"/>
              </w:rPr>
            </w:pPr>
            <w:r>
              <w:rPr>
                <w:sz w:val="20"/>
              </w:rPr>
              <w:t>Typ:</w:t>
            </w:r>
            <w:r>
              <w:rPr>
                <w:rFonts w:ascii="Times New Roman"/>
                <w:sz w:val="20"/>
              </w:rPr>
              <w:tab/>
            </w:r>
            <w:r>
              <w:rPr>
                <w:sz w:val="20"/>
              </w:rPr>
              <w:t>AB-CLD-L</w:t>
            </w:r>
            <w:r>
              <w:rPr>
                <w:rFonts w:ascii="Times New Roman"/>
                <w:sz w:val="20"/>
              </w:rPr>
              <w:tab/>
            </w:r>
            <w:r>
              <w:rPr>
                <w:sz w:val="20"/>
              </w:rPr>
              <w:t>liefern und</w:t>
            </w:r>
            <w:r>
              <w:rPr>
                <w:spacing w:val="-10"/>
                <w:sz w:val="20"/>
              </w:rPr>
              <w:t> </w:t>
            </w:r>
            <w:r>
              <w:rPr>
                <w:sz w:val="20"/>
              </w:rPr>
              <w:t>montieren</w:t>
            </w:r>
          </w:p>
        </w:tc>
        <w:tc>
          <w:tcPr>
            <w:tcW w:w="754" w:type="dxa"/>
          </w:tcPr>
          <w:p>
            <w:pPr>
              <w:pStyle w:val="TableParagraph"/>
              <w:spacing w:before="11"/>
              <w:rPr>
                <w:sz w:val="19"/>
              </w:rPr>
            </w:pPr>
          </w:p>
          <w:p>
            <w:pPr>
              <w:pStyle w:val="TableParagraph"/>
              <w:ind w:right="61"/>
              <w:jc w:val="right"/>
              <w:rPr>
                <w:sz w:val="20"/>
              </w:rPr>
            </w:pPr>
            <w:r>
              <w:rPr>
                <w:sz w:val="20"/>
              </w:rPr>
              <w:t>12,50</w:t>
            </w:r>
          </w:p>
        </w:tc>
        <w:tc>
          <w:tcPr>
            <w:tcW w:w="836" w:type="dxa"/>
          </w:tcPr>
          <w:p>
            <w:pPr>
              <w:pStyle w:val="TableParagraph"/>
              <w:rPr>
                <w:rFonts w:ascii="Times New Roman"/>
                <w:sz w:val="20"/>
              </w:rPr>
            </w:pPr>
          </w:p>
        </w:tc>
      </w:tr>
    </w:tbl>
    <w:p>
      <w:pPr>
        <w:spacing w:after="0"/>
        <w:rPr>
          <w:rFonts w:ascii="Times New Roman"/>
          <w:sz w:val="20"/>
        </w:rPr>
        <w:sectPr>
          <w:pgSz w:w="11900" w:h="16840"/>
          <w:pgMar w:header="286" w:footer="890" w:top="1620" w:bottom="1080" w:left="700" w:right="580"/>
        </w:sectPr>
      </w:pPr>
    </w:p>
    <w:p>
      <w:pPr>
        <w:pStyle w:val="BodyText"/>
        <w:rPr>
          <w:sz w:val="16"/>
        </w:rPr>
      </w:pPr>
      <w:r>
        <w:rPr/>
        <w:pict>
          <v:group style="position:absolute;margin-left:0pt;margin-top:781.560303pt;width:592.6pt;height:14.55pt;mso-position-horizontal-relative:page;mso-position-vertical-relative:page;z-index:251666432" coordorigin="0,15631" coordsize="11852,291">
            <v:rect style="position:absolute;left:8560;top:15631;width:3291;height:291" filled="true" fillcolor="#f9e300" stroked="false">
              <v:fill type="solid"/>
            </v:rect>
            <v:rect style="position:absolute;left:0;top:15631;width:8561;height:291" filled="true" fillcolor="#0089c1" stroked="false">
              <v:fill type="solid"/>
            </v:rect>
            <w10:wrap type="none"/>
          </v:group>
        </w:pict>
      </w:r>
    </w:p>
    <w:tbl>
      <w:tblPr>
        <w:tblW w:w="0" w:type="auto"/>
        <w:jc w:val="left"/>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835"/>
        <w:gridCol w:w="6938"/>
        <w:gridCol w:w="708"/>
        <w:gridCol w:w="708"/>
      </w:tblGrid>
      <w:tr>
        <w:trPr>
          <w:trHeight w:val="551" w:hRule="atLeast"/>
        </w:trPr>
        <w:tc>
          <w:tcPr>
            <w:tcW w:w="9849" w:type="dxa"/>
            <w:gridSpan w:val="5"/>
          </w:tcPr>
          <w:p>
            <w:pPr>
              <w:pStyle w:val="TableParagraph"/>
              <w:spacing w:before="9"/>
              <w:rPr>
                <w:sz w:val="23"/>
              </w:rPr>
            </w:pPr>
          </w:p>
          <w:p>
            <w:pPr>
              <w:pStyle w:val="TableParagraph"/>
              <w:spacing w:line="258" w:lineRule="exact"/>
              <w:ind w:left="69"/>
              <w:rPr>
                <w:b/>
                <w:sz w:val="24"/>
              </w:rPr>
            </w:pPr>
            <w:r>
              <w:rPr>
                <w:b/>
                <w:sz w:val="24"/>
              </w:rPr>
              <w:t>Leistungsverzeichnis Dachrinnenheizung</w:t>
            </w:r>
          </w:p>
        </w:tc>
      </w:tr>
      <w:tr>
        <w:trPr>
          <w:trHeight w:val="460" w:hRule="atLeast"/>
        </w:trPr>
        <w:tc>
          <w:tcPr>
            <w:tcW w:w="660" w:type="dxa"/>
          </w:tcPr>
          <w:p>
            <w:pPr>
              <w:pStyle w:val="TableParagraph"/>
              <w:spacing w:line="227" w:lineRule="exact"/>
              <w:ind w:left="69"/>
              <w:rPr>
                <w:b/>
                <w:sz w:val="20"/>
              </w:rPr>
            </w:pPr>
            <w:r>
              <w:rPr>
                <w:b/>
                <w:sz w:val="20"/>
              </w:rPr>
              <w:t>Pos.</w:t>
            </w:r>
          </w:p>
        </w:tc>
        <w:tc>
          <w:tcPr>
            <w:tcW w:w="835" w:type="dxa"/>
          </w:tcPr>
          <w:p>
            <w:pPr>
              <w:pStyle w:val="TableParagraph"/>
              <w:spacing w:line="227" w:lineRule="exact"/>
              <w:ind w:left="69"/>
              <w:rPr>
                <w:b/>
                <w:sz w:val="20"/>
              </w:rPr>
            </w:pPr>
            <w:r>
              <w:rPr>
                <w:b/>
                <w:sz w:val="20"/>
              </w:rPr>
              <w:t>Menge</w:t>
            </w:r>
          </w:p>
        </w:tc>
        <w:tc>
          <w:tcPr>
            <w:tcW w:w="6938" w:type="dxa"/>
          </w:tcPr>
          <w:p>
            <w:pPr>
              <w:pStyle w:val="TableParagraph"/>
              <w:spacing w:line="227" w:lineRule="exact"/>
              <w:ind w:left="69"/>
              <w:rPr>
                <w:b/>
                <w:sz w:val="20"/>
              </w:rPr>
            </w:pPr>
            <w:r>
              <w:rPr>
                <w:b/>
                <w:sz w:val="20"/>
              </w:rPr>
              <w:t>Beschreibung</w:t>
            </w:r>
          </w:p>
        </w:tc>
        <w:tc>
          <w:tcPr>
            <w:tcW w:w="708" w:type="dxa"/>
          </w:tcPr>
          <w:p>
            <w:pPr>
              <w:pStyle w:val="TableParagraph"/>
              <w:spacing w:line="227" w:lineRule="exact"/>
              <w:ind w:left="70"/>
              <w:rPr>
                <w:b/>
                <w:sz w:val="20"/>
              </w:rPr>
            </w:pPr>
            <w:r>
              <w:rPr>
                <w:b/>
                <w:sz w:val="20"/>
              </w:rPr>
              <w:t>EP</w:t>
            </w:r>
          </w:p>
        </w:tc>
        <w:tc>
          <w:tcPr>
            <w:tcW w:w="708" w:type="dxa"/>
          </w:tcPr>
          <w:p>
            <w:pPr>
              <w:pStyle w:val="TableParagraph"/>
              <w:spacing w:line="227" w:lineRule="exact"/>
              <w:ind w:left="72"/>
              <w:rPr>
                <w:b/>
                <w:sz w:val="20"/>
              </w:rPr>
            </w:pPr>
            <w:r>
              <w:rPr>
                <w:b/>
                <w:sz w:val="20"/>
              </w:rPr>
              <w:t>GP</w:t>
            </w:r>
          </w:p>
        </w:tc>
      </w:tr>
      <w:tr>
        <w:trPr>
          <w:trHeight w:val="2380" w:hRule="atLeast"/>
        </w:trPr>
        <w:tc>
          <w:tcPr>
            <w:tcW w:w="660" w:type="dxa"/>
          </w:tcPr>
          <w:p>
            <w:pPr>
              <w:pStyle w:val="TableParagraph"/>
              <w:rPr>
                <w:rFonts w:ascii="Times New Roman"/>
                <w:sz w:val="20"/>
              </w:rPr>
            </w:pPr>
          </w:p>
        </w:tc>
        <w:tc>
          <w:tcPr>
            <w:tcW w:w="835" w:type="dxa"/>
          </w:tcPr>
          <w:p>
            <w:pPr>
              <w:pStyle w:val="TableParagraph"/>
              <w:rPr>
                <w:rFonts w:ascii="Times New Roman"/>
                <w:sz w:val="20"/>
              </w:rPr>
            </w:pPr>
          </w:p>
        </w:tc>
        <w:tc>
          <w:tcPr>
            <w:tcW w:w="6938" w:type="dxa"/>
          </w:tcPr>
          <w:p>
            <w:pPr>
              <w:pStyle w:val="TableParagraph"/>
              <w:spacing w:before="8"/>
              <w:rPr>
                <w:sz w:val="22"/>
              </w:rPr>
            </w:pPr>
          </w:p>
          <w:p>
            <w:pPr>
              <w:pStyle w:val="TableParagraph"/>
              <w:spacing w:line="280" w:lineRule="auto"/>
              <w:ind w:left="69" w:right="1135"/>
              <w:rPr>
                <w:sz w:val="20"/>
              </w:rPr>
            </w:pPr>
            <w:r>
              <w:rPr>
                <w:b/>
                <w:sz w:val="20"/>
              </w:rPr>
              <w:t>Kabelbinder </w:t>
            </w:r>
            <w:r>
              <w:rPr>
                <w:sz w:val="20"/>
              </w:rPr>
              <w:t>zur Heizbandbefestigung auf den Abstandshaltern, UV beständig; 100mm lang</w:t>
            </w:r>
          </w:p>
          <w:p>
            <w:pPr>
              <w:pStyle w:val="TableParagraph"/>
              <w:spacing w:before="5"/>
              <w:rPr>
                <w:sz w:val="22"/>
              </w:rPr>
            </w:pPr>
          </w:p>
          <w:p>
            <w:pPr>
              <w:pStyle w:val="TableParagraph"/>
              <w:tabs>
                <w:tab w:pos="2224" w:val="left" w:leader="none"/>
              </w:tabs>
              <w:ind w:left="69"/>
              <w:rPr>
                <w:sz w:val="20"/>
              </w:rPr>
            </w:pPr>
            <w:r>
              <w:rPr>
                <w:sz w:val="20"/>
              </w:rPr>
              <w:t>Material:</w:t>
            </w:r>
            <w:r>
              <w:rPr>
                <w:rFonts w:ascii="Times New Roman"/>
                <w:sz w:val="20"/>
              </w:rPr>
              <w:tab/>
            </w:r>
            <w:r>
              <w:rPr>
                <w:sz w:val="20"/>
              </w:rPr>
              <w:t>Polyester</w:t>
            </w:r>
          </w:p>
          <w:p>
            <w:pPr>
              <w:pStyle w:val="TableParagraph"/>
              <w:tabs>
                <w:tab w:pos="2246" w:val="left" w:leader="none"/>
              </w:tabs>
              <w:spacing w:before="34"/>
              <w:ind w:left="69"/>
              <w:rPr>
                <w:sz w:val="20"/>
              </w:rPr>
            </w:pPr>
            <w:r>
              <w:rPr>
                <w:sz w:val="20"/>
              </w:rPr>
              <w:t>VPE:</w:t>
            </w:r>
            <w:r>
              <w:rPr>
                <w:rFonts w:ascii="Times New Roman" w:hAnsi="Times New Roman"/>
                <w:sz w:val="20"/>
              </w:rPr>
              <w:tab/>
            </w:r>
            <w:r>
              <w:rPr>
                <w:sz w:val="20"/>
              </w:rPr>
              <w:t>100</w:t>
            </w:r>
            <w:r>
              <w:rPr>
                <w:spacing w:val="-2"/>
                <w:sz w:val="20"/>
              </w:rPr>
              <w:t> </w:t>
            </w:r>
            <w:r>
              <w:rPr>
                <w:sz w:val="20"/>
              </w:rPr>
              <w:t>Stück</w:t>
            </w:r>
          </w:p>
          <w:p>
            <w:pPr>
              <w:pStyle w:val="TableParagraph"/>
              <w:spacing w:before="2"/>
              <w:rPr>
                <w:sz w:val="26"/>
              </w:rPr>
            </w:pPr>
          </w:p>
          <w:p>
            <w:pPr>
              <w:pStyle w:val="TableParagraph"/>
              <w:tabs>
                <w:tab w:pos="2234" w:val="left" w:leader="none"/>
              </w:tabs>
              <w:ind w:left="69"/>
              <w:rPr>
                <w:sz w:val="20"/>
              </w:rPr>
            </w:pPr>
            <w:r>
              <w:rPr>
                <w:sz w:val="20"/>
              </w:rPr>
              <w:t>Fabrikat:</w:t>
            </w:r>
            <w:r>
              <w:rPr>
                <w:rFonts w:ascii="Times New Roman"/>
                <w:sz w:val="20"/>
              </w:rPr>
              <w:tab/>
            </w:r>
            <w:r>
              <w:rPr>
                <w:sz w:val="20"/>
              </w:rPr>
              <w:t>Quintex</w:t>
            </w:r>
          </w:p>
          <w:p>
            <w:pPr>
              <w:pStyle w:val="TableParagraph"/>
              <w:tabs>
                <w:tab w:pos="2236" w:val="left" w:leader="none"/>
                <w:tab w:pos="4970" w:val="left" w:leader="none"/>
              </w:tabs>
              <w:spacing w:before="34"/>
              <w:ind w:left="69"/>
              <w:rPr>
                <w:sz w:val="20"/>
              </w:rPr>
            </w:pPr>
            <w:r>
              <w:rPr>
                <w:sz w:val="20"/>
              </w:rPr>
              <w:t>Typ:</w:t>
            </w:r>
            <w:r>
              <w:rPr>
                <w:rFonts w:ascii="Times New Roman"/>
                <w:sz w:val="20"/>
              </w:rPr>
              <w:tab/>
            </w:r>
            <w:r>
              <w:rPr>
                <w:sz w:val="20"/>
              </w:rPr>
              <w:t>PKB1</w:t>
            </w:r>
            <w:r>
              <w:rPr>
                <w:rFonts w:ascii="Times New Roman"/>
                <w:sz w:val="20"/>
              </w:rPr>
              <w:tab/>
            </w:r>
            <w:r>
              <w:rPr>
                <w:sz w:val="20"/>
              </w:rPr>
              <w:t>liefern und</w:t>
            </w:r>
            <w:r>
              <w:rPr>
                <w:spacing w:val="-10"/>
                <w:sz w:val="20"/>
              </w:rPr>
              <w:t> </w:t>
            </w:r>
            <w:r>
              <w:rPr>
                <w:sz w:val="20"/>
              </w:rPr>
              <w:t>montieren</w:t>
            </w:r>
          </w:p>
        </w:tc>
        <w:tc>
          <w:tcPr>
            <w:tcW w:w="708" w:type="dxa"/>
          </w:tcPr>
          <w:p>
            <w:pPr>
              <w:pStyle w:val="TableParagraph"/>
              <w:spacing w:before="10"/>
              <w:rPr>
                <w:sz w:val="22"/>
              </w:rPr>
            </w:pPr>
          </w:p>
          <w:p>
            <w:pPr>
              <w:pStyle w:val="TableParagraph"/>
              <w:ind w:left="235"/>
              <w:rPr>
                <w:sz w:val="20"/>
              </w:rPr>
            </w:pPr>
            <w:r>
              <w:rPr>
                <w:sz w:val="20"/>
              </w:rPr>
              <w:t>4,70</w:t>
            </w:r>
          </w:p>
        </w:tc>
        <w:tc>
          <w:tcPr>
            <w:tcW w:w="708" w:type="dxa"/>
          </w:tcPr>
          <w:p>
            <w:pPr>
              <w:pStyle w:val="TableParagraph"/>
              <w:rPr>
                <w:rFonts w:ascii="Times New Roman"/>
                <w:sz w:val="20"/>
              </w:rPr>
            </w:pPr>
          </w:p>
        </w:tc>
      </w:tr>
      <w:tr>
        <w:trPr>
          <w:trHeight w:val="4230" w:hRule="atLeast"/>
        </w:trPr>
        <w:tc>
          <w:tcPr>
            <w:tcW w:w="660" w:type="dxa"/>
          </w:tcPr>
          <w:p>
            <w:pPr>
              <w:pStyle w:val="TableParagraph"/>
              <w:rPr>
                <w:rFonts w:ascii="Times New Roman"/>
                <w:sz w:val="20"/>
              </w:rPr>
            </w:pPr>
          </w:p>
        </w:tc>
        <w:tc>
          <w:tcPr>
            <w:tcW w:w="835" w:type="dxa"/>
          </w:tcPr>
          <w:p>
            <w:pPr>
              <w:pStyle w:val="TableParagraph"/>
              <w:rPr>
                <w:rFonts w:ascii="Times New Roman"/>
                <w:sz w:val="20"/>
              </w:rPr>
            </w:pPr>
          </w:p>
        </w:tc>
        <w:tc>
          <w:tcPr>
            <w:tcW w:w="6938" w:type="dxa"/>
          </w:tcPr>
          <w:p>
            <w:pPr>
              <w:pStyle w:val="TableParagraph"/>
              <w:spacing w:before="8"/>
              <w:rPr>
                <w:sz w:val="22"/>
              </w:rPr>
            </w:pPr>
          </w:p>
          <w:p>
            <w:pPr>
              <w:pStyle w:val="TableParagraph"/>
              <w:ind w:left="69"/>
              <w:rPr>
                <w:b/>
                <w:sz w:val="20"/>
              </w:rPr>
            </w:pPr>
            <w:r>
              <w:rPr>
                <w:b/>
                <w:sz w:val="20"/>
              </w:rPr>
              <w:t>Kleinverteiler für Dachrinne System Quintex</w:t>
            </w:r>
          </w:p>
          <w:p>
            <w:pPr>
              <w:pStyle w:val="TableParagraph"/>
              <w:spacing w:before="3"/>
              <w:rPr>
                <w:sz w:val="26"/>
              </w:rPr>
            </w:pPr>
          </w:p>
          <w:p>
            <w:pPr>
              <w:pStyle w:val="TableParagraph"/>
              <w:spacing w:line="276" w:lineRule="auto" w:before="1"/>
              <w:ind w:left="69" w:right="190"/>
              <w:rPr>
                <w:sz w:val="20"/>
              </w:rPr>
            </w:pPr>
            <w:r>
              <w:rPr>
                <w:sz w:val="20"/>
              </w:rPr>
              <w:t>Kleinverteiler im Kunststoffgehäuse mit Klarsichtdeckel, komplett anschlussfertig verdrahtet und geprüft inkl. Schaltplänen. Bestückt mit Sicherungsautomaten, Zu- u. Abgangsklemmen, vorbereitet für den Einbau eines elektronischen Temperaturreglers Typ CREM-ST.</w:t>
            </w:r>
          </w:p>
          <w:p>
            <w:pPr>
              <w:pStyle w:val="TableParagraph"/>
              <w:spacing w:before="11"/>
              <w:rPr>
                <w:sz w:val="22"/>
              </w:rPr>
            </w:pPr>
          </w:p>
          <w:p>
            <w:pPr>
              <w:pStyle w:val="TableParagraph"/>
              <w:tabs>
                <w:tab w:pos="1634" w:val="left" w:leader="none"/>
              </w:tabs>
              <w:spacing w:line="276" w:lineRule="auto"/>
              <w:ind w:left="69" w:right="841"/>
              <w:rPr>
                <w:sz w:val="20"/>
              </w:rPr>
            </w:pPr>
            <w:r>
              <w:rPr>
                <w:sz w:val="20"/>
              </w:rPr>
              <w:t>Nennspannung: 3/1-phasig an AC 230/400 V, 50 Hz, mit N und PE Schutzart:</w:t>
            </w:r>
            <w:r>
              <w:rPr>
                <w:rFonts w:ascii="Times New Roman"/>
                <w:sz w:val="20"/>
              </w:rPr>
              <w:tab/>
            </w:r>
            <w:r>
              <w:rPr>
                <w:sz w:val="20"/>
              </w:rPr>
              <w:t>IP 54 nach EN 60 529, IEC Publ.</w:t>
            </w:r>
            <w:r>
              <w:rPr>
                <w:spacing w:val="-5"/>
                <w:sz w:val="20"/>
              </w:rPr>
              <w:t> </w:t>
            </w:r>
            <w:r>
              <w:rPr>
                <w:sz w:val="20"/>
              </w:rPr>
              <w:t>529</w:t>
            </w:r>
          </w:p>
          <w:p>
            <w:pPr>
              <w:pStyle w:val="TableParagraph"/>
              <w:tabs>
                <w:tab w:pos="1646" w:val="left" w:leader="none"/>
              </w:tabs>
              <w:spacing w:line="229" w:lineRule="exact"/>
              <w:ind w:left="69"/>
              <w:rPr>
                <w:sz w:val="20"/>
              </w:rPr>
            </w:pPr>
            <w:r>
              <w:rPr>
                <w:sz w:val="20"/>
              </w:rPr>
              <w:t>Ausführung:</w:t>
            </w:r>
            <w:r>
              <w:rPr>
                <w:rFonts w:ascii="Times New Roman" w:hAnsi="Times New Roman"/>
                <w:sz w:val="20"/>
              </w:rPr>
              <w:tab/>
            </w:r>
            <w:r>
              <w:rPr>
                <w:sz w:val="20"/>
              </w:rPr>
              <w:t>Nach VDE</w:t>
            </w:r>
            <w:r>
              <w:rPr>
                <w:spacing w:val="-1"/>
                <w:sz w:val="20"/>
              </w:rPr>
              <w:t> </w:t>
            </w:r>
            <w:r>
              <w:rPr>
                <w:sz w:val="20"/>
              </w:rPr>
              <w:t>0660</w:t>
            </w:r>
          </w:p>
          <w:p>
            <w:pPr>
              <w:pStyle w:val="TableParagraph"/>
              <w:spacing w:before="10"/>
              <w:rPr>
                <w:sz w:val="25"/>
              </w:rPr>
            </w:pPr>
          </w:p>
          <w:p>
            <w:pPr>
              <w:pStyle w:val="TableParagraph"/>
              <w:tabs>
                <w:tab w:pos="1679" w:val="left" w:leader="none"/>
              </w:tabs>
              <w:spacing w:before="1"/>
              <w:ind w:left="69"/>
              <w:rPr>
                <w:sz w:val="20"/>
              </w:rPr>
            </w:pPr>
            <w:r>
              <w:rPr>
                <w:sz w:val="20"/>
              </w:rPr>
              <w:t>Fabrikat:</w:t>
            </w:r>
            <w:r>
              <w:rPr>
                <w:rFonts w:ascii="Times New Roman"/>
                <w:sz w:val="20"/>
              </w:rPr>
              <w:tab/>
            </w:r>
            <w:r>
              <w:rPr>
                <w:sz w:val="20"/>
              </w:rPr>
              <w:t>Quintex</w:t>
            </w:r>
          </w:p>
          <w:p>
            <w:pPr>
              <w:pStyle w:val="TableParagraph"/>
              <w:tabs>
                <w:tab w:pos="1677" w:val="left" w:leader="none"/>
                <w:tab w:pos="4891" w:val="left" w:leader="none"/>
              </w:tabs>
              <w:spacing w:before="36"/>
              <w:ind w:left="69"/>
              <w:rPr>
                <w:sz w:val="20"/>
              </w:rPr>
            </w:pPr>
            <w:r>
              <w:rPr>
                <w:sz w:val="20"/>
              </w:rPr>
              <w:t>Typ:</w:t>
            </w:r>
            <w:r>
              <w:rPr>
                <w:rFonts w:ascii="Times New Roman"/>
                <w:sz w:val="20"/>
              </w:rPr>
              <w:tab/>
            </w:r>
            <w:r>
              <w:rPr>
                <w:sz w:val="20"/>
              </w:rPr>
              <w:t>QX-S..</w:t>
            </w:r>
            <w:r>
              <w:rPr>
                <w:rFonts w:ascii="Times New Roman"/>
                <w:sz w:val="20"/>
              </w:rPr>
              <w:tab/>
            </w:r>
            <w:r>
              <w:rPr>
                <w:sz w:val="20"/>
              </w:rPr>
              <w:t>liefern und</w:t>
            </w:r>
            <w:r>
              <w:rPr>
                <w:spacing w:val="-8"/>
                <w:sz w:val="20"/>
              </w:rPr>
              <w:t> </w:t>
            </w:r>
            <w:r>
              <w:rPr>
                <w:sz w:val="20"/>
              </w:rPr>
              <w:t>montieren</w:t>
            </w:r>
          </w:p>
          <w:p>
            <w:pPr>
              <w:pStyle w:val="TableParagraph"/>
              <w:spacing w:before="10"/>
              <w:rPr>
                <w:sz w:val="25"/>
              </w:rPr>
            </w:pPr>
          </w:p>
          <w:p>
            <w:pPr>
              <w:pStyle w:val="TableParagraph"/>
              <w:spacing w:before="1"/>
              <w:ind w:left="69"/>
              <w:rPr>
                <w:sz w:val="20"/>
              </w:rPr>
            </w:pPr>
            <w:r>
              <w:rPr>
                <w:sz w:val="20"/>
              </w:rPr>
              <w:t>Preis auf Anfrage</w:t>
            </w:r>
          </w:p>
        </w:tc>
        <w:tc>
          <w:tcPr>
            <w:tcW w:w="708" w:type="dxa"/>
          </w:tcPr>
          <w:p>
            <w:pPr>
              <w:pStyle w:val="TableParagraph"/>
              <w:rPr>
                <w:rFonts w:ascii="Times New Roman"/>
                <w:sz w:val="20"/>
              </w:rPr>
            </w:pPr>
          </w:p>
        </w:tc>
        <w:tc>
          <w:tcPr>
            <w:tcW w:w="708" w:type="dxa"/>
          </w:tcPr>
          <w:p>
            <w:pPr>
              <w:pStyle w:val="TableParagraph"/>
              <w:rPr>
                <w:rFonts w:ascii="Times New Roman"/>
                <w:sz w:val="20"/>
              </w:rPr>
            </w:pPr>
          </w:p>
        </w:tc>
      </w:tr>
      <w:tr>
        <w:trPr>
          <w:trHeight w:val="5555" w:hRule="atLeast"/>
        </w:trPr>
        <w:tc>
          <w:tcPr>
            <w:tcW w:w="660" w:type="dxa"/>
          </w:tcPr>
          <w:p>
            <w:pPr>
              <w:pStyle w:val="TableParagraph"/>
              <w:rPr>
                <w:rFonts w:ascii="Times New Roman"/>
                <w:sz w:val="20"/>
              </w:rPr>
            </w:pPr>
          </w:p>
        </w:tc>
        <w:tc>
          <w:tcPr>
            <w:tcW w:w="835" w:type="dxa"/>
          </w:tcPr>
          <w:p>
            <w:pPr>
              <w:pStyle w:val="TableParagraph"/>
              <w:rPr>
                <w:rFonts w:ascii="Times New Roman"/>
                <w:sz w:val="20"/>
              </w:rPr>
            </w:pPr>
          </w:p>
        </w:tc>
        <w:tc>
          <w:tcPr>
            <w:tcW w:w="6938" w:type="dxa"/>
          </w:tcPr>
          <w:p>
            <w:pPr>
              <w:pStyle w:val="TableParagraph"/>
              <w:spacing w:before="10"/>
              <w:rPr>
                <w:sz w:val="22"/>
              </w:rPr>
            </w:pPr>
          </w:p>
          <w:p>
            <w:pPr>
              <w:pStyle w:val="TableParagraph"/>
              <w:ind w:left="69"/>
              <w:rPr>
                <w:b/>
                <w:sz w:val="20"/>
              </w:rPr>
            </w:pPr>
            <w:r>
              <w:rPr>
                <w:b/>
                <w:sz w:val="20"/>
              </w:rPr>
              <w:t>Schaltschränke für Dachrinne System Quintex</w:t>
            </w:r>
          </w:p>
          <w:p>
            <w:pPr>
              <w:pStyle w:val="TableParagraph"/>
              <w:spacing w:before="1"/>
              <w:rPr>
                <w:sz w:val="26"/>
              </w:rPr>
            </w:pPr>
          </w:p>
          <w:p>
            <w:pPr>
              <w:pStyle w:val="TableParagraph"/>
              <w:spacing w:line="276" w:lineRule="auto" w:before="1"/>
              <w:ind w:left="69" w:right="59"/>
              <w:jc w:val="both"/>
              <w:rPr>
                <w:sz w:val="20"/>
              </w:rPr>
            </w:pPr>
            <w:r>
              <w:rPr>
                <w:sz w:val="20"/>
              </w:rPr>
              <w:t>anschlussfertig verdrahtet und geprüft incl. Schaltplan. Stahlblechgehäuse für Innenaufstellung. Bestückt mit Schaltgeräten wie folgt: Hauptschalter, Betriebsartenwahlschalter H-0-A, Sicherungsautomaten, Lastschützen, Zu-</w:t>
            </w:r>
          </w:p>
          <w:p>
            <w:pPr>
              <w:pStyle w:val="TableParagraph"/>
              <w:spacing w:line="276" w:lineRule="auto" w:before="1"/>
              <w:ind w:left="69" w:right="59"/>
              <w:jc w:val="both"/>
              <w:rPr>
                <w:sz w:val="20"/>
              </w:rPr>
            </w:pPr>
            <w:r>
              <w:rPr>
                <w:sz w:val="20"/>
              </w:rPr>
              <w:t>u. Abgangsklemmen, potentialfreie Sammelstörmeldung, Meldeleuchten "Betrieb" und "Störung". Für den Einbau einer Schnee- u. Eismeldeanlage vom Typ CREM-ST vorbereitet (muss separat bestellt werden).</w:t>
            </w:r>
          </w:p>
          <w:p>
            <w:pPr>
              <w:pStyle w:val="TableParagraph"/>
              <w:spacing w:before="9"/>
              <w:rPr>
                <w:sz w:val="22"/>
              </w:rPr>
            </w:pPr>
          </w:p>
          <w:p>
            <w:pPr>
              <w:pStyle w:val="TableParagraph"/>
              <w:tabs>
                <w:tab w:pos="2191" w:val="left" w:leader="none"/>
              </w:tabs>
              <w:spacing w:line="278" w:lineRule="auto"/>
              <w:ind w:left="69" w:right="454"/>
              <w:rPr>
                <w:sz w:val="20"/>
              </w:rPr>
            </w:pPr>
            <w:r>
              <w:rPr>
                <w:sz w:val="20"/>
              </w:rPr>
              <w:t>Nennspannung:</w:t>
            </w:r>
            <w:r>
              <w:rPr>
                <w:rFonts w:ascii="Times New Roman"/>
                <w:sz w:val="20"/>
              </w:rPr>
              <w:tab/>
            </w:r>
            <w:r>
              <w:rPr>
                <w:sz w:val="20"/>
              </w:rPr>
              <w:t>3-phasig an AC 230/400 V, 50 Hz, mit N und</w:t>
            </w:r>
            <w:r>
              <w:rPr>
                <w:spacing w:val="-17"/>
                <w:sz w:val="20"/>
              </w:rPr>
              <w:t> </w:t>
            </w:r>
            <w:r>
              <w:rPr>
                <w:sz w:val="20"/>
              </w:rPr>
              <w:t>PE Schutzart:</w:t>
            </w:r>
            <w:r>
              <w:rPr>
                <w:rFonts w:ascii="Times New Roman"/>
                <w:sz w:val="20"/>
              </w:rPr>
              <w:tab/>
            </w:r>
            <w:r>
              <w:rPr>
                <w:sz w:val="20"/>
              </w:rPr>
              <w:t>IP 54 nach EN 60 529, IEC Publ.</w:t>
            </w:r>
            <w:r>
              <w:rPr>
                <w:spacing w:val="-3"/>
                <w:sz w:val="20"/>
              </w:rPr>
              <w:t> </w:t>
            </w:r>
            <w:r>
              <w:rPr>
                <w:sz w:val="20"/>
              </w:rPr>
              <w:t>529</w:t>
            </w:r>
          </w:p>
          <w:p>
            <w:pPr>
              <w:pStyle w:val="TableParagraph"/>
              <w:tabs>
                <w:tab w:pos="2203" w:val="left" w:leader="none"/>
              </w:tabs>
              <w:spacing w:line="227" w:lineRule="exact"/>
              <w:ind w:left="69"/>
              <w:rPr>
                <w:sz w:val="20"/>
              </w:rPr>
            </w:pPr>
            <w:r>
              <w:rPr>
                <w:sz w:val="20"/>
              </w:rPr>
              <w:t>Ausführung:</w:t>
            </w:r>
            <w:r>
              <w:rPr>
                <w:rFonts w:ascii="Times New Roman" w:hAnsi="Times New Roman"/>
                <w:sz w:val="20"/>
              </w:rPr>
              <w:tab/>
            </w:r>
            <w:r>
              <w:rPr>
                <w:sz w:val="20"/>
              </w:rPr>
              <w:t>nach VDE</w:t>
            </w:r>
            <w:r>
              <w:rPr>
                <w:spacing w:val="-4"/>
                <w:sz w:val="20"/>
              </w:rPr>
              <w:t> </w:t>
            </w:r>
            <w:r>
              <w:rPr>
                <w:sz w:val="20"/>
              </w:rPr>
              <w:t>0660</w:t>
            </w:r>
          </w:p>
          <w:p>
            <w:pPr>
              <w:pStyle w:val="TableParagraph"/>
              <w:tabs>
                <w:tab w:pos="2200" w:val="left" w:leader="none"/>
              </w:tabs>
              <w:spacing w:before="34"/>
              <w:ind w:left="69"/>
              <w:rPr>
                <w:sz w:val="20"/>
              </w:rPr>
            </w:pPr>
            <w:r>
              <w:rPr>
                <w:sz w:val="20"/>
              </w:rPr>
              <w:t>Farbe:</w:t>
            </w:r>
            <w:r>
              <w:rPr>
                <w:rFonts w:ascii="Times New Roman"/>
                <w:sz w:val="20"/>
              </w:rPr>
              <w:tab/>
            </w:r>
            <w:r>
              <w:rPr>
                <w:sz w:val="20"/>
              </w:rPr>
              <w:t>RAL -</w:t>
            </w:r>
            <w:r>
              <w:rPr>
                <w:spacing w:val="-2"/>
                <w:sz w:val="20"/>
              </w:rPr>
              <w:t> </w:t>
            </w:r>
            <w:r>
              <w:rPr>
                <w:sz w:val="20"/>
              </w:rPr>
              <w:t>grau</w:t>
            </w:r>
          </w:p>
          <w:p>
            <w:pPr>
              <w:pStyle w:val="TableParagraph"/>
              <w:tabs>
                <w:tab w:pos="2234" w:val="left" w:leader="none"/>
              </w:tabs>
              <w:spacing w:line="530" w:lineRule="exact" w:before="62"/>
              <w:ind w:left="69" w:right="3934" w:hanging="1"/>
              <w:rPr>
                <w:sz w:val="20"/>
              </w:rPr>
            </w:pPr>
            <w:r>
              <w:rPr>
                <w:sz w:val="20"/>
              </w:rPr>
              <w:t>Anzahl der Heizkreise: xx Stück Fabrikat:</w:t>
            </w:r>
            <w:r>
              <w:rPr>
                <w:rFonts w:ascii="Times New Roman" w:hAnsi="Times New Roman"/>
                <w:sz w:val="20"/>
              </w:rPr>
              <w:tab/>
            </w:r>
            <w:r>
              <w:rPr>
                <w:sz w:val="20"/>
              </w:rPr>
              <w:t>Quintex</w:t>
            </w:r>
          </w:p>
          <w:p>
            <w:pPr>
              <w:pStyle w:val="TableParagraph"/>
              <w:tabs>
                <w:tab w:pos="2234" w:val="left" w:leader="none"/>
                <w:tab w:pos="4948" w:val="left" w:leader="none"/>
              </w:tabs>
              <w:spacing w:line="201" w:lineRule="exact"/>
              <w:ind w:left="69"/>
              <w:rPr>
                <w:sz w:val="20"/>
              </w:rPr>
            </w:pPr>
            <w:r>
              <w:rPr>
                <w:sz w:val="20"/>
              </w:rPr>
              <w:t>Typ:</w:t>
            </w:r>
            <w:r>
              <w:rPr>
                <w:rFonts w:ascii="Times New Roman"/>
                <w:sz w:val="20"/>
              </w:rPr>
              <w:tab/>
            </w:r>
            <w:r>
              <w:rPr>
                <w:sz w:val="20"/>
              </w:rPr>
              <w:t>QX-S..</w:t>
            </w:r>
            <w:r>
              <w:rPr>
                <w:rFonts w:ascii="Times New Roman"/>
                <w:sz w:val="20"/>
              </w:rPr>
              <w:tab/>
            </w:r>
            <w:r>
              <w:rPr>
                <w:sz w:val="20"/>
              </w:rPr>
              <w:t>liefern und</w:t>
            </w:r>
            <w:r>
              <w:rPr>
                <w:spacing w:val="-9"/>
                <w:sz w:val="20"/>
              </w:rPr>
              <w:t> </w:t>
            </w:r>
            <w:r>
              <w:rPr>
                <w:sz w:val="20"/>
              </w:rPr>
              <w:t>montieren</w:t>
            </w:r>
          </w:p>
          <w:p>
            <w:pPr>
              <w:pStyle w:val="TableParagraph"/>
              <w:spacing w:before="10"/>
              <w:rPr>
                <w:sz w:val="25"/>
              </w:rPr>
            </w:pPr>
          </w:p>
          <w:p>
            <w:pPr>
              <w:pStyle w:val="TableParagraph"/>
              <w:ind w:left="69"/>
              <w:rPr>
                <w:sz w:val="20"/>
              </w:rPr>
            </w:pPr>
            <w:r>
              <w:rPr>
                <w:sz w:val="20"/>
              </w:rPr>
              <w:t>Preis auf Anfrage</w:t>
            </w:r>
          </w:p>
        </w:tc>
        <w:tc>
          <w:tcPr>
            <w:tcW w:w="708" w:type="dxa"/>
          </w:tcPr>
          <w:p>
            <w:pPr>
              <w:pStyle w:val="TableParagraph"/>
              <w:rPr>
                <w:rFonts w:ascii="Times New Roman"/>
                <w:sz w:val="20"/>
              </w:rPr>
            </w:pPr>
          </w:p>
        </w:tc>
        <w:tc>
          <w:tcPr>
            <w:tcW w:w="708" w:type="dxa"/>
          </w:tcPr>
          <w:p>
            <w:pPr>
              <w:pStyle w:val="TableParagraph"/>
              <w:rPr>
                <w:rFonts w:ascii="Times New Roman"/>
                <w:sz w:val="20"/>
              </w:rPr>
            </w:pPr>
          </w:p>
        </w:tc>
      </w:tr>
    </w:tbl>
    <w:p>
      <w:pPr>
        <w:spacing w:after="0"/>
        <w:rPr>
          <w:rFonts w:ascii="Times New Roman"/>
          <w:sz w:val="20"/>
        </w:rPr>
        <w:sectPr>
          <w:pgSz w:w="11900" w:h="16840"/>
          <w:pgMar w:header="286" w:footer="890" w:top="1620" w:bottom="1080" w:left="700" w:right="580"/>
        </w:sectPr>
      </w:pPr>
    </w:p>
    <w:p>
      <w:pPr>
        <w:pStyle w:val="BodyText"/>
        <w:rPr>
          <w:sz w:val="20"/>
        </w:rPr>
      </w:pPr>
      <w:r>
        <w:rPr/>
        <w:pict>
          <v:group style="position:absolute;margin-left:0pt;margin-top:781.560303pt;width:592.6pt;height:14.55pt;mso-position-horizontal-relative:page;mso-position-vertical-relative:page;z-index:251667456" coordorigin="0,15631" coordsize="11852,291">
            <v:rect style="position:absolute;left:8560;top:15631;width:3291;height:291" filled="true" fillcolor="#f9e300" stroked="false">
              <v:fill type="solid"/>
            </v:rect>
            <v:rect style="position:absolute;left:0;top:15631;width:8561;height:291" filled="true" fillcolor="#0089c1" stroked="false">
              <v:fill type="solid"/>
            </v:rect>
            <w10:wrap type="none"/>
          </v:group>
        </w:pict>
      </w:r>
    </w:p>
    <w:p>
      <w:pPr>
        <w:pStyle w:val="BodyText"/>
        <w:rPr>
          <w:sz w:val="20"/>
        </w:rPr>
      </w:pPr>
    </w:p>
    <w:p>
      <w:pPr>
        <w:pStyle w:val="BodyText"/>
        <w:rPr>
          <w:sz w:val="24"/>
        </w:rPr>
      </w:pPr>
    </w:p>
    <w:tbl>
      <w:tblPr>
        <w:tblW w:w="0" w:type="auto"/>
        <w:jc w:val="left"/>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835"/>
        <w:gridCol w:w="6943"/>
        <w:gridCol w:w="569"/>
        <w:gridCol w:w="850"/>
      </w:tblGrid>
      <w:tr>
        <w:trPr>
          <w:trHeight w:val="597" w:hRule="atLeast"/>
        </w:trPr>
        <w:tc>
          <w:tcPr>
            <w:tcW w:w="9850" w:type="dxa"/>
            <w:gridSpan w:val="5"/>
          </w:tcPr>
          <w:p>
            <w:pPr>
              <w:pStyle w:val="TableParagraph"/>
              <w:spacing w:before="7"/>
              <w:rPr>
                <w:sz w:val="23"/>
              </w:rPr>
            </w:pPr>
          </w:p>
          <w:p>
            <w:pPr>
              <w:pStyle w:val="TableParagraph"/>
              <w:spacing w:line="305" w:lineRule="exact" w:before="1"/>
              <w:ind w:left="69"/>
              <w:rPr>
                <w:b/>
                <w:sz w:val="28"/>
              </w:rPr>
            </w:pPr>
            <w:r>
              <w:rPr>
                <w:b/>
                <w:sz w:val="28"/>
              </w:rPr>
              <w:t>Leistungsverzeichnis Dachrinnenheizung</w:t>
            </w:r>
          </w:p>
        </w:tc>
      </w:tr>
      <w:tr>
        <w:trPr>
          <w:trHeight w:val="460" w:hRule="atLeast"/>
        </w:trPr>
        <w:tc>
          <w:tcPr>
            <w:tcW w:w="653" w:type="dxa"/>
            <w:tcBorders>
              <w:right w:val="single" w:sz="6" w:space="0" w:color="000000"/>
            </w:tcBorders>
          </w:tcPr>
          <w:p>
            <w:pPr>
              <w:pStyle w:val="TableParagraph"/>
              <w:spacing w:line="227" w:lineRule="exact"/>
              <w:ind w:left="69"/>
              <w:rPr>
                <w:b/>
                <w:sz w:val="20"/>
              </w:rPr>
            </w:pPr>
            <w:r>
              <w:rPr>
                <w:b/>
                <w:sz w:val="20"/>
              </w:rPr>
              <w:t>Pos.</w:t>
            </w:r>
          </w:p>
        </w:tc>
        <w:tc>
          <w:tcPr>
            <w:tcW w:w="835" w:type="dxa"/>
            <w:tcBorders>
              <w:left w:val="single" w:sz="6" w:space="0" w:color="000000"/>
            </w:tcBorders>
          </w:tcPr>
          <w:p>
            <w:pPr>
              <w:pStyle w:val="TableParagraph"/>
              <w:spacing w:line="227" w:lineRule="exact"/>
              <w:ind w:left="73"/>
              <w:rPr>
                <w:b/>
                <w:sz w:val="20"/>
              </w:rPr>
            </w:pPr>
            <w:r>
              <w:rPr>
                <w:b/>
                <w:sz w:val="20"/>
              </w:rPr>
              <w:t>Menge</w:t>
            </w:r>
          </w:p>
        </w:tc>
        <w:tc>
          <w:tcPr>
            <w:tcW w:w="6943" w:type="dxa"/>
          </w:tcPr>
          <w:p>
            <w:pPr>
              <w:pStyle w:val="TableParagraph"/>
              <w:spacing w:line="227" w:lineRule="exact"/>
              <w:ind w:left="69"/>
              <w:rPr>
                <w:b/>
                <w:sz w:val="20"/>
              </w:rPr>
            </w:pPr>
            <w:r>
              <w:rPr>
                <w:b/>
                <w:sz w:val="20"/>
              </w:rPr>
              <w:t>Beschreibung</w:t>
            </w:r>
          </w:p>
        </w:tc>
        <w:tc>
          <w:tcPr>
            <w:tcW w:w="569" w:type="dxa"/>
          </w:tcPr>
          <w:p>
            <w:pPr>
              <w:pStyle w:val="TableParagraph"/>
              <w:spacing w:line="227" w:lineRule="exact"/>
              <w:ind w:left="72"/>
              <w:rPr>
                <w:b/>
                <w:sz w:val="20"/>
              </w:rPr>
            </w:pPr>
            <w:r>
              <w:rPr>
                <w:b/>
                <w:sz w:val="20"/>
              </w:rPr>
              <w:t>EP</w:t>
            </w:r>
          </w:p>
        </w:tc>
        <w:tc>
          <w:tcPr>
            <w:tcW w:w="850" w:type="dxa"/>
          </w:tcPr>
          <w:p>
            <w:pPr>
              <w:pStyle w:val="TableParagraph"/>
              <w:spacing w:line="227" w:lineRule="exact"/>
              <w:ind w:left="71"/>
              <w:rPr>
                <w:b/>
                <w:sz w:val="20"/>
              </w:rPr>
            </w:pPr>
            <w:r>
              <w:rPr>
                <w:b/>
                <w:sz w:val="20"/>
              </w:rPr>
              <w:t>GP</w:t>
            </w:r>
          </w:p>
        </w:tc>
      </w:tr>
      <w:tr>
        <w:trPr>
          <w:trHeight w:val="3966" w:hRule="atLeast"/>
        </w:trPr>
        <w:tc>
          <w:tcPr>
            <w:tcW w:w="653" w:type="dxa"/>
          </w:tcPr>
          <w:p>
            <w:pPr>
              <w:pStyle w:val="TableParagraph"/>
              <w:rPr>
                <w:rFonts w:ascii="Times New Roman"/>
                <w:sz w:val="20"/>
              </w:rPr>
            </w:pPr>
          </w:p>
        </w:tc>
        <w:tc>
          <w:tcPr>
            <w:tcW w:w="835" w:type="dxa"/>
          </w:tcPr>
          <w:p>
            <w:pPr>
              <w:pStyle w:val="TableParagraph"/>
              <w:rPr>
                <w:rFonts w:ascii="Times New Roman"/>
                <w:sz w:val="20"/>
              </w:rPr>
            </w:pPr>
          </w:p>
        </w:tc>
        <w:tc>
          <w:tcPr>
            <w:tcW w:w="6943" w:type="dxa"/>
          </w:tcPr>
          <w:p>
            <w:pPr>
              <w:pStyle w:val="TableParagraph"/>
              <w:spacing w:before="8"/>
              <w:rPr>
                <w:sz w:val="22"/>
              </w:rPr>
            </w:pPr>
          </w:p>
          <w:p>
            <w:pPr>
              <w:pStyle w:val="TableParagraph"/>
              <w:ind w:left="69"/>
              <w:rPr>
                <w:b/>
                <w:sz w:val="20"/>
              </w:rPr>
            </w:pPr>
            <w:r>
              <w:rPr>
                <w:b/>
                <w:sz w:val="20"/>
              </w:rPr>
              <w:t>Ab- u. Inbetriebnahme gemäß Herstellervorgabe</w:t>
            </w:r>
          </w:p>
          <w:p>
            <w:pPr>
              <w:pStyle w:val="TableParagraph"/>
              <w:spacing w:before="3"/>
              <w:rPr>
                <w:sz w:val="26"/>
              </w:rPr>
            </w:pPr>
          </w:p>
          <w:p>
            <w:pPr>
              <w:pStyle w:val="TableParagraph"/>
              <w:spacing w:before="1"/>
              <w:ind w:left="69"/>
              <w:rPr>
                <w:sz w:val="20"/>
              </w:rPr>
            </w:pPr>
            <w:r>
              <w:rPr>
                <w:sz w:val="20"/>
              </w:rPr>
              <w:t>Folgende Prüfungen sind durchzuführen:</w:t>
            </w:r>
          </w:p>
          <w:p>
            <w:pPr>
              <w:pStyle w:val="TableParagraph"/>
              <w:spacing w:line="276" w:lineRule="auto" w:before="34"/>
              <w:ind w:left="69" w:right="2630"/>
              <w:rPr>
                <w:sz w:val="20"/>
              </w:rPr>
            </w:pPr>
            <w:r>
              <w:rPr>
                <w:sz w:val="20"/>
              </w:rPr>
              <w:t>Sicht- u. Funktionsprüfung für jeden Heizkreis Isolationsprüfung mit mind. 500V Prüfspannung</w:t>
            </w:r>
          </w:p>
          <w:p>
            <w:pPr>
              <w:pStyle w:val="TableParagraph"/>
              <w:spacing w:line="229" w:lineRule="exact"/>
              <w:ind w:left="69"/>
              <w:rPr>
                <w:sz w:val="20"/>
              </w:rPr>
            </w:pPr>
            <w:r>
              <w:rPr>
                <w:sz w:val="20"/>
              </w:rPr>
              <w:t>Einstellung der / des Regelgeräte(s) einschließlich Probebetrieb</w:t>
            </w:r>
          </w:p>
          <w:p>
            <w:pPr>
              <w:pStyle w:val="TableParagraph"/>
              <w:spacing w:before="1"/>
              <w:rPr>
                <w:sz w:val="26"/>
              </w:rPr>
            </w:pPr>
          </w:p>
          <w:p>
            <w:pPr>
              <w:pStyle w:val="TableParagraph"/>
              <w:spacing w:line="276" w:lineRule="auto"/>
              <w:ind w:left="69" w:right="1853" w:hanging="1"/>
              <w:rPr>
                <w:sz w:val="20"/>
              </w:rPr>
            </w:pPr>
            <w:r>
              <w:rPr>
                <w:sz w:val="20"/>
              </w:rPr>
              <w:t>Alle Heizreise sind einzeln zu prüfen und die Ergebnisse in einem Prüfprotokoll zu dokumentieren.</w:t>
            </w:r>
          </w:p>
          <w:p>
            <w:pPr>
              <w:pStyle w:val="TableParagraph"/>
              <w:spacing w:line="229" w:lineRule="exact"/>
              <w:ind w:left="69"/>
              <w:rPr>
                <w:sz w:val="20"/>
              </w:rPr>
            </w:pPr>
            <w:r>
              <w:rPr>
                <w:sz w:val="20"/>
              </w:rPr>
              <w:t>Vorzugsweise ist das Protokoll des Herstellers zu verwenden</w:t>
            </w:r>
          </w:p>
          <w:p>
            <w:pPr>
              <w:pStyle w:val="TableParagraph"/>
              <w:rPr>
                <w:sz w:val="22"/>
              </w:rPr>
            </w:pPr>
          </w:p>
          <w:p>
            <w:pPr>
              <w:pStyle w:val="TableParagraph"/>
              <w:spacing w:before="1"/>
              <w:rPr>
                <w:sz w:val="27"/>
              </w:rPr>
            </w:pPr>
          </w:p>
          <w:p>
            <w:pPr>
              <w:pStyle w:val="TableParagraph"/>
              <w:ind w:right="61"/>
              <w:jc w:val="right"/>
              <w:rPr>
                <w:sz w:val="20"/>
              </w:rPr>
            </w:pPr>
            <w:r>
              <w:rPr>
                <w:sz w:val="20"/>
              </w:rPr>
              <w:t>Pauschal je Heizkreis</w:t>
            </w:r>
          </w:p>
        </w:tc>
        <w:tc>
          <w:tcPr>
            <w:tcW w:w="569" w:type="dxa"/>
          </w:tcPr>
          <w:p>
            <w:pPr>
              <w:pStyle w:val="TableParagraph"/>
              <w:rPr>
                <w:rFonts w:ascii="Times New Roman"/>
                <w:sz w:val="20"/>
              </w:rPr>
            </w:pPr>
          </w:p>
        </w:tc>
        <w:tc>
          <w:tcPr>
            <w:tcW w:w="850" w:type="dxa"/>
          </w:tcPr>
          <w:p>
            <w:pPr>
              <w:pStyle w:val="TableParagraph"/>
              <w:rPr>
                <w:rFonts w:ascii="Times New Roman"/>
                <w:sz w:val="20"/>
              </w:rPr>
            </w:pPr>
          </w:p>
        </w:tc>
      </w:tr>
      <w:tr>
        <w:trPr>
          <w:trHeight w:val="2116" w:hRule="atLeast"/>
        </w:trPr>
        <w:tc>
          <w:tcPr>
            <w:tcW w:w="653" w:type="dxa"/>
          </w:tcPr>
          <w:p>
            <w:pPr>
              <w:pStyle w:val="TableParagraph"/>
              <w:rPr>
                <w:rFonts w:ascii="Times New Roman"/>
                <w:sz w:val="20"/>
              </w:rPr>
            </w:pPr>
          </w:p>
        </w:tc>
        <w:tc>
          <w:tcPr>
            <w:tcW w:w="835" w:type="dxa"/>
          </w:tcPr>
          <w:p>
            <w:pPr>
              <w:pStyle w:val="TableParagraph"/>
              <w:rPr>
                <w:rFonts w:ascii="Times New Roman"/>
                <w:sz w:val="20"/>
              </w:rPr>
            </w:pPr>
          </w:p>
        </w:tc>
        <w:tc>
          <w:tcPr>
            <w:tcW w:w="6943" w:type="dxa"/>
          </w:tcPr>
          <w:p>
            <w:pPr>
              <w:pStyle w:val="TableParagraph"/>
              <w:spacing w:before="10"/>
              <w:rPr>
                <w:sz w:val="22"/>
              </w:rPr>
            </w:pPr>
          </w:p>
          <w:p>
            <w:pPr>
              <w:pStyle w:val="TableParagraph"/>
              <w:ind w:left="69"/>
              <w:rPr>
                <w:b/>
                <w:sz w:val="20"/>
              </w:rPr>
            </w:pPr>
            <w:r>
              <w:rPr>
                <w:b/>
                <w:sz w:val="20"/>
              </w:rPr>
              <w:t>Werkskonfektionierung</w:t>
            </w:r>
          </w:p>
          <w:p>
            <w:pPr>
              <w:pStyle w:val="TableParagraph"/>
              <w:spacing w:before="1"/>
              <w:rPr>
                <w:sz w:val="26"/>
              </w:rPr>
            </w:pPr>
          </w:p>
          <w:p>
            <w:pPr>
              <w:pStyle w:val="TableParagraph"/>
              <w:spacing w:line="276" w:lineRule="auto" w:before="1"/>
              <w:ind w:left="69"/>
              <w:rPr>
                <w:sz w:val="20"/>
              </w:rPr>
            </w:pPr>
            <w:r>
              <w:rPr>
                <w:sz w:val="20"/>
              </w:rPr>
              <w:t>Preis je An- und Endabschluss zur Herstellung eines verlege fertigen Heizkreises, incl. Werksprüfprotokoll</w:t>
            </w:r>
          </w:p>
          <w:p>
            <w:pPr>
              <w:pStyle w:val="TableParagraph"/>
              <w:rPr>
                <w:sz w:val="23"/>
              </w:rPr>
            </w:pPr>
          </w:p>
          <w:p>
            <w:pPr>
              <w:pStyle w:val="TableParagraph"/>
              <w:spacing w:before="1"/>
              <w:ind w:right="116"/>
              <w:jc w:val="right"/>
              <w:rPr>
                <w:sz w:val="20"/>
              </w:rPr>
            </w:pPr>
            <w:r>
              <w:rPr>
                <w:sz w:val="20"/>
              </w:rPr>
              <w:t>Pauschal je Heizkreis</w:t>
            </w:r>
          </w:p>
        </w:tc>
        <w:tc>
          <w:tcPr>
            <w:tcW w:w="569" w:type="dxa"/>
          </w:tcPr>
          <w:p>
            <w:pPr>
              <w:pStyle w:val="TableParagraph"/>
              <w:rPr>
                <w:rFonts w:ascii="Times New Roman"/>
                <w:sz w:val="20"/>
              </w:rPr>
            </w:pPr>
          </w:p>
        </w:tc>
        <w:tc>
          <w:tcPr>
            <w:tcW w:w="850" w:type="dxa"/>
          </w:tcPr>
          <w:p>
            <w:pPr>
              <w:pStyle w:val="TableParagraph"/>
              <w:rPr>
                <w:rFonts w:ascii="Times New Roman"/>
                <w:sz w:val="20"/>
              </w:rPr>
            </w:pPr>
          </w:p>
        </w:tc>
      </w:tr>
    </w:tbl>
    <w:sectPr>
      <w:pgSz w:w="11900" w:h="16840"/>
      <w:pgMar w:header="286" w:footer="890" w:top="1620" w:bottom="1080" w:left="7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group style="position:absolute;margin-left:0pt;margin-top:781.560303pt;width:592.6pt;height:14.55pt;mso-position-horizontal-relative:page;mso-position-vertical-relative:page;z-index:-252525568" coordorigin="0,15631" coordsize="11852,291">
          <v:rect style="position:absolute;left:8560;top:15631;width:3291;height:291" filled="true" fillcolor="#f9e300" stroked="false">
            <v:fill type="solid"/>
          </v:rect>
          <v:rect style="position:absolute;left:0;top:15631;width:8561;height:291" filled="true" fillcolor="#0089c1" stroked="false">
            <v:fill type="solid"/>
          </v:rect>
          <w10:wrap type="none"/>
        </v:group>
      </w:pict>
    </w:r>
    <w:r>
      <w:rPr/>
      <w:pict>
        <v:shape style="position:absolute;margin-left:476.720551pt;margin-top:782.520935pt;width:48.85pt;height:11pt;mso-position-horizontal-relative:page;mso-position-vertical-relative:page;z-index:-252524544" type="#_x0000_t202" filled="false" stroked="false">
          <v:textbox inset="0,0,0,0">
            <w:txbxContent>
              <w:p>
                <w:pPr>
                  <w:spacing w:before="15"/>
                  <w:ind w:left="20" w:right="0" w:firstLine="0"/>
                  <w:jc w:val="left"/>
                  <w:rPr>
                    <w:b/>
                    <w:sz w:val="16"/>
                  </w:rPr>
                </w:pPr>
                <w:r>
                  <w:rPr>
                    <w:sz w:val="16"/>
                  </w:rPr>
                  <w:t>Seite </w:t>
                </w:r>
                <w:r>
                  <w:rPr/>
                  <w:fldChar w:fldCharType="begin"/>
                </w:r>
                <w:r>
                  <w:rPr>
                    <w:b/>
                    <w:sz w:val="16"/>
                  </w:rPr>
                  <w:instrText> PAGE </w:instrText>
                </w:r>
                <w:r>
                  <w:rPr/>
                  <w:fldChar w:fldCharType="separate"/>
                </w:r>
                <w:r>
                  <w:rPr/>
                  <w:t>3</w:t>
                </w:r>
                <w:r>
                  <w:rPr/>
                  <w:fldChar w:fldCharType="end"/>
                </w:r>
                <w:r>
                  <w:rPr>
                    <w:b/>
                    <w:sz w:val="16"/>
                  </w:rPr>
                  <w:t> </w:t>
                </w:r>
                <w:r>
                  <w:rPr>
                    <w:sz w:val="16"/>
                  </w:rPr>
                  <w:t>von </w:t>
                </w:r>
                <w:r>
                  <w:rPr>
                    <w:b/>
                    <w:sz w:val="16"/>
                  </w:rPr>
                  <w:t>8</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788864">
          <wp:simplePos x="0" y="0"/>
          <wp:positionH relativeFrom="page">
            <wp:posOffset>5436108</wp:posOffset>
          </wp:positionH>
          <wp:positionV relativeFrom="page">
            <wp:posOffset>181366</wp:posOffset>
          </wp:positionV>
          <wp:extent cx="1850136" cy="656844"/>
          <wp:effectExtent l="0" t="0" r="0" b="0"/>
          <wp:wrapNone/>
          <wp:docPr id="1" name="image5.png"/>
          <wp:cNvGraphicFramePr>
            <a:graphicFrameLocks noChangeAspect="1"/>
          </wp:cNvGraphicFramePr>
          <a:graphic>
            <a:graphicData uri="http://schemas.openxmlformats.org/drawingml/2006/picture">
              <pic:pic>
                <pic:nvPicPr>
                  <pic:cNvPr id="2" name="image5.png"/>
                  <pic:cNvPicPr/>
                </pic:nvPicPr>
                <pic:blipFill>
                  <a:blip r:embed="rId1" cstate="print"/>
                  <a:stretch>
                    <a:fillRect/>
                  </a:stretch>
                </pic:blipFill>
                <pic:spPr>
                  <a:xfrm>
                    <a:off x="0" y="0"/>
                    <a:ext cx="1850136" cy="656844"/>
                  </a:xfrm>
                  <a:prstGeom prst="rect">
                    <a:avLst/>
                  </a:prstGeom>
                </pic:spPr>
              </pic:pic>
            </a:graphicData>
          </a:graphic>
        </wp:anchor>
      </w:drawing>
    </w:r>
    <w:r>
      <w:rPr/>
      <w:pict>
        <v:line style="position:absolute;mso-position-horizontal-relative:page;mso-position-vertical-relative:page;z-index:-252526592" from="59.279999pt,80.998421pt" to="562.439988pt,80.998421pt" stroked="true" strokeweight=".75pt" strokecolor="#000000">
          <v:stroke dashstyle="solid"/>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30" w:hanging="605"/>
      </w:pPr>
      <w:rPr>
        <w:rFonts w:hint="default" w:ascii="Wingdings" w:hAnsi="Wingdings" w:eastAsia="Wingdings" w:cs="Wingdings"/>
        <w:w w:val="99"/>
        <w:sz w:val="44"/>
        <w:szCs w:val="44"/>
      </w:rPr>
    </w:lvl>
    <w:lvl w:ilvl="1">
      <w:start w:val="0"/>
      <w:numFmt w:val="bullet"/>
      <w:lvlText w:val="•"/>
      <w:lvlJc w:val="left"/>
      <w:pPr>
        <w:ind w:left="1696" w:hanging="605"/>
      </w:pPr>
      <w:rPr>
        <w:rFonts w:hint="default"/>
      </w:rPr>
    </w:lvl>
    <w:lvl w:ilvl="2">
      <w:start w:val="0"/>
      <w:numFmt w:val="bullet"/>
      <w:lvlText w:val="•"/>
      <w:lvlJc w:val="left"/>
      <w:pPr>
        <w:ind w:left="2553" w:hanging="605"/>
      </w:pPr>
      <w:rPr>
        <w:rFonts w:hint="default"/>
      </w:rPr>
    </w:lvl>
    <w:lvl w:ilvl="3">
      <w:start w:val="0"/>
      <w:numFmt w:val="bullet"/>
      <w:lvlText w:val="•"/>
      <w:lvlJc w:val="left"/>
      <w:pPr>
        <w:ind w:left="3410" w:hanging="605"/>
      </w:pPr>
      <w:rPr>
        <w:rFonts w:hint="default"/>
      </w:rPr>
    </w:lvl>
    <w:lvl w:ilvl="4">
      <w:start w:val="0"/>
      <w:numFmt w:val="bullet"/>
      <w:lvlText w:val="•"/>
      <w:lvlJc w:val="left"/>
      <w:pPr>
        <w:ind w:left="4267" w:hanging="605"/>
      </w:pPr>
      <w:rPr>
        <w:rFonts w:hint="default"/>
      </w:rPr>
    </w:lvl>
    <w:lvl w:ilvl="5">
      <w:start w:val="0"/>
      <w:numFmt w:val="bullet"/>
      <w:lvlText w:val="•"/>
      <w:lvlJc w:val="left"/>
      <w:pPr>
        <w:ind w:left="5124" w:hanging="605"/>
      </w:pPr>
      <w:rPr>
        <w:rFonts w:hint="default"/>
      </w:rPr>
    </w:lvl>
    <w:lvl w:ilvl="6">
      <w:start w:val="0"/>
      <w:numFmt w:val="bullet"/>
      <w:lvlText w:val="•"/>
      <w:lvlJc w:val="left"/>
      <w:pPr>
        <w:ind w:left="5980" w:hanging="605"/>
      </w:pPr>
      <w:rPr>
        <w:rFonts w:hint="default"/>
      </w:rPr>
    </w:lvl>
    <w:lvl w:ilvl="7">
      <w:start w:val="0"/>
      <w:numFmt w:val="bullet"/>
      <w:lvlText w:val="•"/>
      <w:lvlJc w:val="left"/>
      <w:pPr>
        <w:ind w:left="6837" w:hanging="605"/>
      </w:pPr>
      <w:rPr>
        <w:rFonts w:hint="default"/>
      </w:rPr>
    </w:lvl>
    <w:lvl w:ilvl="8">
      <w:start w:val="0"/>
      <w:numFmt w:val="bullet"/>
      <w:lvlText w:val="•"/>
      <w:lvlJc w:val="left"/>
      <w:pPr>
        <w:ind w:left="7694" w:hanging="605"/>
      </w:pPr>
      <w:rPr>
        <w:rFonts w:hint="default"/>
      </w:rPr>
    </w:lvl>
  </w:abstractNum>
  <w:abstractNum w:abstractNumId="1">
    <w:multiLevelType w:val="hybridMultilevel"/>
    <w:lvl w:ilvl="0">
      <w:start w:val="0"/>
      <w:numFmt w:val="bullet"/>
      <w:lvlText w:val=""/>
      <w:lvlJc w:val="left"/>
      <w:pPr>
        <w:ind w:left="1320" w:hanging="605"/>
      </w:pPr>
      <w:rPr>
        <w:rFonts w:hint="default" w:ascii="Wingdings" w:hAnsi="Wingdings" w:eastAsia="Wingdings" w:cs="Wingdings"/>
        <w:w w:val="99"/>
        <w:sz w:val="44"/>
        <w:szCs w:val="44"/>
      </w:rPr>
    </w:lvl>
    <w:lvl w:ilvl="1">
      <w:start w:val="0"/>
      <w:numFmt w:val="bullet"/>
      <w:lvlText w:val="•"/>
      <w:lvlJc w:val="left"/>
      <w:pPr>
        <w:ind w:left="2250" w:hanging="605"/>
      </w:pPr>
      <w:rPr>
        <w:rFonts w:hint="default"/>
      </w:rPr>
    </w:lvl>
    <w:lvl w:ilvl="2">
      <w:start w:val="0"/>
      <w:numFmt w:val="bullet"/>
      <w:lvlText w:val="•"/>
      <w:lvlJc w:val="left"/>
      <w:pPr>
        <w:ind w:left="3180" w:hanging="605"/>
      </w:pPr>
      <w:rPr>
        <w:rFonts w:hint="default"/>
      </w:rPr>
    </w:lvl>
    <w:lvl w:ilvl="3">
      <w:start w:val="0"/>
      <w:numFmt w:val="bullet"/>
      <w:lvlText w:val="•"/>
      <w:lvlJc w:val="left"/>
      <w:pPr>
        <w:ind w:left="4110" w:hanging="605"/>
      </w:pPr>
      <w:rPr>
        <w:rFonts w:hint="default"/>
      </w:rPr>
    </w:lvl>
    <w:lvl w:ilvl="4">
      <w:start w:val="0"/>
      <w:numFmt w:val="bullet"/>
      <w:lvlText w:val="•"/>
      <w:lvlJc w:val="left"/>
      <w:pPr>
        <w:ind w:left="5040" w:hanging="605"/>
      </w:pPr>
      <w:rPr>
        <w:rFonts w:hint="default"/>
      </w:rPr>
    </w:lvl>
    <w:lvl w:ilvl="5">
      <w:start w:val="0"/>
      <w:numFmt w:val="bullet"/>
      <w:lvlText w:val="•"/>
      <w:lvlJc w:val="left"/>
      <w:pPr>
        <w:ind w:left="5970" w:hanging="605"/>
      </w:pPr>
      <w:rPr>
        <w:rFonts w:hint="default"/>
      </w:rPr>
    </w:lvl>
    <w:lvl w:ilvl="6">
      <w:start w:val="0"/>
      <w:numFmt w:val="bullet"/>
      <w:lvlText w:val="•"/>
      <w:lvlJc w:val="left"/>
      <w:pPr>
        <w:ind w:left="6900" w:hanging="605"/>
      </w:pPr>
      <w:rPr>
        <w:rFonts w:hint="default"/>
      </w:rPr>
    </w:lvl>
    <w:lvl w:ilvl="7">
      <w:start w:val="0"/>
      <w:numFmt w:val="bullet"/>
      <w:lvlText w:val="•"/>
      <w:lvlJc w:val="left"/>
      <w:pPr>
        <w:ind w:left="7830" w:hanging="605"/>
      </w:pPr>
      <w:rPr>
        <w:rFonts w:hint="default"/>
      </w:rPr>
    </w:lvl>
    <w:lvl w:ilvl="8">
      <w:start w:val="0"/>
      <w:numFmt w:val="bullet"/>
      <w:lvlText w:val="•"/>
      <w:lvlJc w:val="left"/>
      <w:pPr>
        <w:ind w:left="8760" w:hanging="605"/>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84"/>
      <w:outlineLvl w:val="1"/>
    </w:pPr>
    <w:rPr>
      <w:rFonts w:ascii="Arial" w:hAnsi="Arial" w:eastAsia="Arial" w:cs="Arial"/>
      <w:b/>
      <w:bCs/>
      <w:sz w:val="48"/>
      <w:szCs w:val="48"/>
    </w:rPr>
  </w:style>
  <w:style w:styleId="Heading2" w:type="paragraph">
    <w:name w:val="Heading 2"/>
    <w:basedOn w:val="Normal"/>
    <w:uiPriority w:val="1"/>
    <w:qFormat/>
    <w:pPr>
      <w:ind w:left="1320" w:hanging="605"/>
      <w:outlineLvl w:val="2"/>
    </w:pPr>
    <w:rPr>
      <w:rFonts w:ascii="Arial" w:hAnsi="Arial" w:eastAsia="Arial" w:cs="Arial"/>
      <w:sz w:val="44"/>
      <w:szCs w:val="44"/>
    </w:rPr>
  </w:style>
  <w:style w:styleId="ListParagraph" w:type="paragraph">
    <w:name w:val="List Paragraph"/>
    <w:basedOn w:val="Normal"/>
    <w:uiPriority w:val="1"/>
    <w:qFormat/>
    <w:pPr>
      <w:ind w:left="1320" w:hanging="605"/>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quintex.eu/" TargetMode="External"/><Relationship Id="rId10" Type="http://schemas.openxmlformats.org/officeDocument/2006/relationships/hyperlink" Target="mailto:info@quintex.info"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6.png"/><Relationship Id="rId1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Peter.Volz</dc:creator>
  <dc:title>Microsoft Word - Ausschreibungstexte_Dachrinnenheizung_2021</dc:title>
  <dcterms:created xsi:type="dcterms:W3CDTF">2021-01-11T10:54:38Z</dcterms:created>
  <dcterms:modified xsi:type="dcterms:W3CDTF">2021-01-11T10:54:38Z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2020-12-07T00:00:00Z</vt:filetime>
  </property>
  <property fmtid="{D5CDD505-2E9C-101B-9397-08002B2CF9AE}" pid="3" name="Creator">
    <vt:lpwstr>PDF24 Creator</vt:lpwstr>
  </property>
  <property fmtid="{D5CDD505-2E9C-101B-9397-08002B2CF9AE}" pid="4" name="LastSaved">
    <vt:filetime>2021-01-11T00:00:00Z</vt:filetime>
  </property>
</Properties>
</file>